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D9AA" w14:textId="77777777" w:rsidR="00FE7DAB" w:rsidRDefault="00FE7DAB" w:rsidP="00501843">
      <w:pPr>
        <w:spacing w:after="0"/>
        <w:rPr>
          <w:rFonts w:ascii="Calibri" w:hAnsi="Calibri" w:cs="Calibri"/>
          <w:b/>
          <w:bCs/>
        </w:rPr>
      </w:pPr>
    </w:p>
    <w:p w14:paraId="201DE972" w14:textId="77777777" w:rsidR="00FE7DAB" w:rsidRPr="00FE7DAB" w:rsidRDefault="00FE7DAB" w:rsidP="00501843">
      <w:pPr>
        <w:spacing w:after="0"/>
        <w:rPr>
          <w:rFonts w:ascii="Calibri" w:hAnsi="Calibri" w:cs="Calibri"/>
          <w:b/>
          <w:bCs/>
        </w:rPr>
      </w:pPr>
    </w:p>
    <w:p w14:paraId="32565955" w14:textId="77777777" w:rsidR="00FE7DAB" w:rsidRPr="00FE7DAB" w:rsidRDefault="00FE7DAB" w:rsidP="00FE7DAB">
      <w:pPr>
        <w:rPr>
          <w:b/>
          <w:bCs/>
          <w:u w:val="single"/>
        </w:rPr>
      </w:pPr>
      <w:r w:rsidRPr="00FE7DAB">
        <w:rPr>
          <w:b/>
          <w:bCs/>
          <w:u w:val="single"/>
        </w:rPr>
        <w:t xml:space="preserve">Załącznik 1: </w:t>
      </w:r>
    </w:p>
    <w:p w14:paraId="194D0E68" w14:textId="029BE96B" w:rsidR="000C2178" w:rsidRPr="00BE587D" w:rsidRDefault="000C2178" w:rsidP="00501843">
      <w:pPr>
        <w:spacing w:after="0"/>
        <w:rPr>
          <w:rFonts w:ascii="Calibri" w:hAnsi="Calibri" w:cs="Calibri"/>
          <w:b/>
          <w:bCs/>
        </w:rPr>
      </w:pPr>
      <w:r w:rsidRPr="00BE587D">
        <w:rPr>
          <w:rFonts w:ascii="Calibri" w:hAnsi="Calibri" w:cs="Calibri"/>
          <w:b/>
          <w:bCs/>
        </w:rPr>
        <w:t>Priorytet XII – STEP na Mazowszu</w:t>
      </w:r>
    </w:p>
    <w:p w14:paraId="3C0D004B" w14:textId="77777777" w:rsidR="00AE09FF" w:rsidRPr="00BE587D" w:rsidRDefault="000C2178" w:rsidP="00501843">
      <w:pPr>
        <w:spacing w:after="0"/>
        <w:rPr>
          <w:rFonts w:ascii="Calibri" w:hAnsi="Calibri" w:cs="Calibri"/>
          <w:b/>
          <w:bCs/>
        </w:rPr>
      </w:pPr>
      <w:r w:rsidRPr="00BE587D">
        <w:rPr>
          <w:rFonts w:ascii="Calibri" w:hAnsi="Calibri" w:cs="Calibri"/>
          <w:b/>
          <w:bCs/>
        </w:rPr>
        <w:t xml:space="preserve">Działanie 12.1 STEP </w:t>
      </w:r>
      <w:r w:rsidR="00EC6575" w:rsidRPr="00BE587D">
        <w:rPr>
          <w:rFonts w:ascii="Calibri" w:hAnsi="Calibri" w:cs="Calibri"/>
          <w:b/>
          <w:bCs/>
        </w:rPr>
        <w:t>dla rozwoju biotechnologii</w:t>
      </w:r>
      <w:r w:rsidRPr="00BE587D">
        <w:rPr>
          <w:rFonts w:ascii="Calibri" w:hAnsi="Calibri" w:cs="Calibri"/>
          <w:b/>
          <w:bCs/>
        </w:rPr>
        <w:t xml:space="preserve"> </w:t>
      </w:r>
    </w:p>
    <w:p w14:paraId="37130CAE" w14:textId="14D7FC1B" w:rsidR="000C2178" w:rsidRPr="00BE587D" w:rsidRDefault="00C64667" w:rsidP="00501843">
      <w:pPr>
        <w:spacing w:after="0"/>
        <w:rPr>
          <w:rFonts w:ascii="Calibri" w:hAnsi="Calibri" w:cs="Calibri"/>
          <w:b/>
          <w:bCs/>
        </w:rPr>
      </w:pPr>
      <w:r w:rsidRPr="00BE587D">
        <w:rPr>
          <w:rFonts w:ascii="Calibri" w:hAnsi="Calibri" w:cs="Calibri"/>
          <w:b/>
          <w:bCs/>
        </w:rPr>
        <w:t>Ty</w:t>
      </w:r>
      <w:r w:rsidR="0097087E" w:rsidRPr="00BE587D">
        <w:rPr>
          <w:rFonts w:ascii="Calibri" w:hAnsi="Calibri" w:cs="Calibri"/>
          <w:b/>
          <w:bCs/>
        </w:rPr>
        <w:t>p</w:t>
      </w:r>
      <w:r w:rsidRPr="00BE587D">
        <w:rPr>
          <w:rFonts w:ascii="Calibri" w:hAnsi="Calibri" w:cs="Calibri"/>
          <w:b/>
          <w:bCs/>
        </w:rPr>
        <w:t xml:space="preserve"> projek</w:t>
      </w:r>
      <w:r w:rsidR="00BE587D" w:rsidRPr="00BE587D">
        <w:rPr>
          <w:rFonts w:ascii="Calibri" w:hAnsi="Calibri" w:cs="Calibri"/>
          <w:b/>
          <w:bCs/>
        </w:rPr>
        <w:t>tu</w:t>
      </w:r>
      <w:r w:rsidRPr="00BE587D">
        <w:rPr>
          <w:rFonts w:ascii="Calibri" w:hAnsi="Calibri" w:cs="Calibri"/>
          <w:b/>
          <w:bCs/>
        </w:rPr>
        <w:t xml:space="preserve">: </w:t>
      </w:r>
      <w:r w:rsidR="00BE587D" w:rsidRPr="00BE587D">
        <w:rPr>
          <w:rFonts w:ascii="Calibri" w:hAnsi="Calibri" w:cs="Calibri"/>
          <w:b/>
          <w:bCs/>
        </w:rPr>
        <w:t>Rozwój terapii genowych</w:t>
      </w:r>
    </w:p>
    <w:p w14:paraId="640E6F8C" w14:textId="77777777" w:rsidR="0097087E" w:rsidRDefault="0097087E" w:rsidP="00501843">
      <w:pPr>
        <w:spacing w:after="0"/>
        <w:rPr>
          <w:rFonts w:ascii="Calibri" w:hAnsi="Calibri" w:cs="Calibri"/>
          <w:b/>
          <w:bCs/>
        </w:rPr>
      </w:pPr>
    </w:p>
    <w:p w14:paraId="6F56C8A9" w14:textId="77777777" w:rsidR="0097087E" w:rsidRPr="009B3FC2" w:rsidRDefault="0097087E" w:rsidP="0097087E">
      <w:pPr>
        <w:spacing w:after="0"/>
        <w:rPr>
          <w:rFonts w:ascii="Calibri" w:hAnsi="Calibri" w:cs="Calibri"/>
          <w:b/>
        </w:rPr>
      </w:pPr>
      <w:bookmarkStart w:id="0" w:name="_Toc501089445"/>
      <w:bookmarkStart w:id="1" w:name="_Toc148954689"/>
      <w:r w:rsidRPr="009B3FC2">
        <w:rPr>
          <w:rFonts w:ascii="Calibri" w:hAnsi="Calibri" w:cs="Calibri"/>
          <w:b/>
          <w:lang w:val="x-none"/>
        </w:rPr>
        <w:t>KRYTERIA DOSTĘP</w:t>
      </w:r>
      <w:bookmarkEnd w:id="0"/>
      <w:r w:rsidRPr="009B3FC2">
        <w:rPr>
          <w:rFonts w:ascii="Calibri" w:hAnsi="Calibri" w:cs="Calibri"/>
          <w:b/>
        </w:rPr>
        <w:t>U</w:t>
      </w:r>
      <w:bookmarkEnd w:id="1"/>
    </w:p>
    <w:p w14:paraId="514D741D" w14:textId="77777777" w:rsidR="0097087E" w:rsidRPr="009B3FC2" w:rsidRDefault="0097087E" w:rsidP="00501843">
      <w:pPr>
        <w:spacing w:after="0"/>
        <w:rPr>
          <w:rFonts w:ascii="Calibri" w:hAnsi="Calibri" w:cs="Calibr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026"/>
        <w:gridCol w:w="8648"/>
        <w:gridCol w:w="1559"/>
        <w:gridCol w:w="1240"/>
      </w:tblGrid>
      <w:tr w:rsidR="000C2178" w:rsidRPr="009B3FC2" w14:paraId="646FA60F" w14:textId="77777777" w:rsidTr="004E251A">
        <w:trPr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49A6" w14:textId="77777777" w:rsidR="000C2178" w:rsidRPr="009B3FC2" w:rsidRDefault="000C2178" w:rsidP="000C2178">
            <w:pPr>
              <w:rPr>
                <w:rFonts w:ascii="Calibri" w:hAnsi="Calibri" w:cs="Calibri"/>
                <w:b/>
              </w:rPr>
            </w:pPr>
            <w:r w:rsidRPr="009B3FC2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485D" w14:textId="77777777" w:rsidR="000C2178" w:rsidRPr="009B3FC2" w:rsidRDefault="000C2178" w:rsidP="000C2178">
            <w:pPr>
              <w:rPr>
                <w:rFonts w:ascii="Calibri" w:hAnsi="Calibri" w:cs="Calibri"/>
                <w:b/>
              </w:rPr>
            </w:pPr>
            <w:r w:rsidRPr="009B3FC2">
              <w:rPr>
                <w:rFonts w:ascii="Calibri" w:hAnsi="Calibri" w:cs="Calibri"/>
                <w:b/>
              </w:rPr>
              <w:t>Nazwa kryterium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D05B" w14:textId="2601A8D9" w:rsidR="000C2178" w:rsidRPr="009B3FC2" w:rsidRDefault="00964549" w:rsidP="000C217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Definicja</w:t>
            </w:r>
            <w:r w:rsidRPr="009B3FC2">
              <w:rPr>
                <w:rFonts w:ascii="Calibri" w:hAnsi="Calibri" w:cs="Calibri"/>
                <w:b/>
              </w:rPr>
              <w:t xml:space="preserve"> </w:t>
            </w:r>
            <w:r w:rsidR="000C2178" w:rsidRPr="009B3FC2">
              <w:rPr>
                <w:rFonts w:ascii="Calibri" w:hAnsi="Calibri" w:cs="Calibri"/>
                <w:b/>
              </w:rPr>
              <w:t>kryterium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1237" w14:textId="777A1AEB" w:rsidR="000C2178" w:rsidRPr="009B3FC2" w:rsidRDefault="000C2178" w:rsidP="000C2178">
            <w:pPr>
              <w:rPr>
                <w:rFonts w:ascii="Calibri" w:hAnsi="Calibri" w:cs="Calibri"/>
                <w:b/>
              </w:rPr>
            </w:pPr>
            <w:r w:rsidRPr="009B3FC2">
              <w:rPr>
                <w:rFonts w:ascii="Calibri" w:hAnsi="Calibri" w:cs="Calibri"/>
                <w:b/>
              </w:rPr>
              <w:t>Punktacja</w:t>
            </w:r>
            <w:r w:rsidR="00964549">
              <w:rPr>
                <w:rFonts w:ascii="Calibri" w:hAnsi="Calibri" w:cs="Calibri"/>
                <w:b/>
              </w:rPr>
              <w:t xml:space="preserve"> /Opis znaczenia dla wyniku oceny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C783" w14:textId="28B754B1" w:rsidR="000C2178" w:rsidRPr="009B3FC2" w:rsidRDefault="000C2178" w:rsidP="000C2178">
            <w:pPr>
              <w:rPr>
                <w:rFonts w:ascii="Calibri" w:hAnsi="Calibri" w:cs="Calibri"/>
                <w:b/>
              </w:rPr>
            </w:pPr>
            <w:r w:rsidRPr="009B3FC2">
              <w:rPr>
                <w:rFonts w:ascii="Calibri" w:hAnsi="Calibri" w:cs="Calibri"/>
                <w:b/>
              </w:rPr>
              <w:t xml:space="preserve">Możliwość </w:t>
            </w:r>
            <w:r w:rsidR="00964549">
              <w:rPr>
                <w:rFonts w:ascii="Calibri" w:hAnsi="Calibri" w:cs="Calibri"/>
                <w:b/>
              </w:rPr>
              <w:t>uzupełnienia</w:t>
            </w:r>
          </w:p>
        </w:tc>
      </w:tr>
      <w:tr w:rsidR="00C64667" w:rsidRPr="00AB387C" w14:paraId="307BA411" w14:textId="77777777" w:rsidTr="004E251A">
        <w:trPr>
          <w:trHeight w:val="283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36E5" w14:textId="75324C79" w:rsidR="00C64667" w:rsidRPr="00AB387C" w:rsidRDefault="00C64667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B9F9" w14:textId="6B1F4A11" w:rsidR="00C64667" w:rsidRPr="00AB387C" w:rsidRDefault="00C64667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 xml:space="preserve">Spełnianie </w:t>
            </w:r>
            <w:r w:rsidR="002F750B" w:rsidRPr="00AB387C">
              <w:rPr>
                <w:rFonts w:ascii="Calibri" w:hAnsi="Calibri" w:cs="Calibri"/>
              </w:rPr>
              <w:t>cel</w:t>
            </w:r>
            <w:r w:rsidR="002A7E63" w:rsidRPr="00AB387C">
              <w:rPr>
                <w:rFonts w:ascii="Calibri" w:hAnsi="Calibri" w:cs="Calibri"/>
              </w:rPr>
              <w:t>u</w:t>
            </w:r>
            <w:r w:rsidR="002F750B" w:rsidRPr="00AB387C">
              <w:rPr>
                <w:rFonts w:ascii="Calibri" w:hAnsi="Calibri" w:cs="Calibri"/>
              </w:rPr>
              <w:t xml:space="preserve"> </w:t>
            </w:r>
            <w:r w:rsidRPr="00AB387C">
              <w:rPr>
                <w:rFonts w:ascii="Calibri" w:hAnsi="Calibri" w:cs="Calibri"/>
              </w:rPr>
              <w:t>STEP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C349" w14:textId="494FC8B3" w:rsidR="008634AA" w:rsidRPr="00AB387C" w:rsidRDefault="008E629D" w:rsidP="002F750B">
            <w:pPr>
              <w:pStyle w:val="p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B387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W ramach kryterium ocenie podlegać będzie czy projekt służy realizacji cel</w:t>
            </w:r>
            <w:r w:rsidR="002A7E63" w:rsidRPr="00AB387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u</w:t>
            </w:r>
            <w:r w:rsidRPr="00AB387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zgodnie z </w:t>
            </w:r>
            <w:r w:rsidR="00397DAD" w:rsidRPr="00AB387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art.</w:t>
            </w:r>
            <w:r w:rsidR="008634AA" w:rsidRPr="00AB387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AB387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 ust. 1 ROZPORZĄDZENIA PARLAMENTU EUROPEJSKIEGO I RADY (UE) 2024/795 z dnia 29 lutego 2024 r. </w:t>
            </w:r>
            <w:r w:rsidR="008634AA" w:rsidRPr="00AB387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(w sprawie ustanowienia Platformy na rzecz Technologii Strategicznych dla</w:t>
            </w:r>
          </w:p>
          <w:p w14:paraId="034D4394" w14:textId="4608EAA0" w:rsidR="00501843" w:rsidRPr="00AB387C" w:rsidRDefault="008634AA" w:rsidP="002F750B">
            <w:pPr>
              <w:pStyle w:val="pf0"/>
              <w:spacing w:before="0" w:beforeAutospacing="0" w:after="0" w:afterAutospacing="0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B387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Europy (STEP) oraz zmiany dyrektywy 2003/87/WE oraz rozporządzeń</w:t>
            </w:r>
            <w:r w:rsidR="00BF3BDC" w:rsidRPr="00AB387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AB387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(UE) 2021/1058, (UE) 2021/1056, (UE) 2021/1057, (UE) nr 1303/2013, (UE)</w:t>
            </w:r>
            <w:r w:rsidR="00BF3BDC" w:rsidRPr="00AB387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AB387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nr 223/2014, (UE) 2021/1060, (UE) 2021/523, (UE) 2021/695, (UE) 2021/697</w:t>
            </w:r>
            <w:r w:rsidR="00BF3BDC" w:rsidRPr="00AB387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AB387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 (UE) 2021/241) </w:t>
            </w:r>
            <w:r w:rsidR="008E629D" w:rsidRPr="00AB387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tj</w:t>
            </w:r>
            <w:r w:rsidR="008E629D" w:rsidRPr="00AB387C">
              <w:rPr>
                <w:rFonts w:ascii="Calibri" w:eastAsiaTheme="minorHAnsi" w:hAnsi="Calibri" w:cs="Calibri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  <w:r w:rsidR="008E629D" w:rsidRPr="00AB387C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wspieranie rozwoju lub wytwarzania technologii krytycznych w całej Unii lub ochrona i wzmacnianie ich odpowiednich łańcuchów wartości, w sektorze biotechnologie, w tym produkty lecznicze znajdujące się w unijnym wykazie produktów leczniczych o krytycznym znaczeniu i ich składniki.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2822" w14:textId="7C0F2126" w:rsidR="00C64667" w:rsidRPr="00AB387C" w:rsidRDefault="00C64667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0/1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7001" w14:textId="6B77BA8B" w:rsidR="00C64667" w:rsidRPr="00AB387C" w:rsidRDefault="00C64667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TAK</w:t>
            </w:r>
          </w:p>
        </w:tc>
      </w:tr>
      <w:tr w:rsidR="00336FE0" w:rsidRPr="00AB387C" w14:paraId="14865884" w14:textId="77777777" w:rsidTr="004E251A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AE1D" w14:textId="4A3D44F9" w:rsidR="00336FE0" w:rsidRPr="00AB387C" w:rsidRDefault="00336FE0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4C6E" w14:textId="648D96C3" w:rsidR="00336FE0" w:rsidRPr="00AB387C" w:rsidRDefault="00336FE0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Technologie krytyczne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E362" w14:textId="77777777" w:rsidR="00501843" w:rsidRPr="00AB387C" w:rsidRDefault="00501843" w:rsidP="00501843">
            <w:pPr>
              <w:spacing w:after="0"/>
              <w:rPr>
                <w:rFonts w:ascii="Calibri" w:hAnsi="Calibri" w:cs="Calibri"/>
              </w:rPr>
            </w:pPr>
          </w:p>
          <w:p w14:paraId="4CBC55A2" w14:textId="69F75861" w:rsidR="002A7E63" w:rsidRPr="002A7E63" w:rsidRDefault="00DE3BFA" w:rsidP="002A7E63">
            <w:pPr>
              <w:spacing w:after="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W ramach kryterium ocenie podlega c</w:t>
            </w:r>
            <w:r w:rsidR="00336FE0" w:rsidRPr="00AB387C">
              <w:rPr>
                <w:rFonts w:ascii="Calibri" w:hAnsi="Calibri" w:cs="Calibri"/>
              </w:rPr>
              <w:t xml:space="preserve">zy technologie realizowane w projekcie można uznać zgodnie z </w:t>
            </w:r>
            <w:r w:rsidR="00397DAD" w:rsidRPr="00AB387C">
              <w:rPr>
                <w:rFonts w:ascii="Calibri" w:hAnsi="Calibri" w:cs="Calibri"/>
              </w:rPr>
              <w:t>a</w:t>
            </w:r>
            <w:r w:rsidR="00336FE0" w:rsidRPr="00AB387C">
              <w:rPr>
                <w:rFonts w:ascii="Calibri" w:hAnsi="Calibri" w:cs="Calibri"/>
              </w:rPr>
              <w:t xml:space="preserve">rt. 2 </w:t>
            </w:r>
            <w:r w:rsidR="00EB79B1" w:rsidRPr="00AB387C">
              <w:rPr>
                <w:rFonts w:ascii="Calibri" w:hAnsi="Calibri" w:cs="Calibri"/>
              </w:rPr>
              <w:t xml:space="preserve">ROZPORZĄDZENIA PARLAMENTU EUROPEJSKIEGO I RADY (UE) 2024/795 z dnia 29 lutego 2024 r. </w:t>
            </w:r>
            <w:r w:rsidR="00177CB1" w:rsidRPr="00AB387C">
              <w:rPr>
                <w:rFonts w:ascii="Calibri" w:hAnsi="Calibri" w:cs="Calibri"/>
              </w:rPr>
              <w:t xml:space="preserve">oraz </w:t>
            </w:r>
            <w:proofErr w:type="spellStart"/>
            <w:r w:rsidR="00177CB1" w:rsidRPr="00AB387C">
              <w:rPr>
                <w:rFonts w:ascii="Calibri" w:hAnsi="Calibri" w:cs="Calibri"/>
              </w:rPr>
              <w:t>ppkt</w:t>
            </w:r>
            <w:proofErr w:type="spellEnd"/>
            <w:r w:rsidR="00177CB1" w:rsidRPr="00AB387C">
              <w:rPr>
                <w:rFonts w:ascii="Calibri" w:hAnsi="Calibri" w:cs="Calibri"/>
              </w:rPr>
              <w:t xml:space="preserve"> 3.1 Komunikatu Komisji (C/2024/3209) Wytyczne dotyczące niektórych przepisów rozporządzenia (UE) 2024/795 w sprawie ustanowienia Platformy na rzecz Technologii Strategicznych dla Europy (STEP) </w:t>
            </w:r>
            <w:r w:rsidR="00336FE0" w:rsidRPr="00AB387C">
              <w:rPr>
                <w:rFonts w:ascii="Calibri" w:hAnsi="Calibri" w:cs="Calibri"/>
              </w:rPr>
              <w:t>za krytyczne,</w:t>
            </w:r>
            <w:r w:rsidR="00363C70" w:rsidRPr="00AB387C">
              <w:rPr>
                <w:rFonts w:ascii="Calibri" w:hAnsi="Calibri" w:cs="Calibri"/>
              </w:rPr>
              <w:t xml:space="preserve"> </w:t>
            </w:r>
            <w:r w:rsidR="002A7E63" w:rsidRPr="00AB387C">
              <w:rPr>
                <w:rFonts w:ascii="Calibri" w:hAnsi="Calibri" w:cs="Calibri"/>
                <w:color w:val="000000"/>
                <w:kern w:val="0"/>
              </w:rPr>
              <w:t xml:space="preserve">w </w:t>
            </w:r>
            <w:r w:rsidR="00AB387C" w:rsidRPr="00AB387C">
              <w:rPr>
                <w:rFonts w:ascii="Calibri" w:hAnsi="Calibri" w:cs="Calibri"/>
                <w:color w:val="000000"/>
                <w:kern w:val="0"/>
              </w:rPr>
              <w:t>przypadku,</w:t>
            </w:r>
            <w:r w:rsidR="002A7E63" w:rsidRPr="00AB387C">
              <w:rPr>
                <w:rFonts w:ascii="Calibri" w:hAnsi="Calibri" w:cs="Calibri"/>
                <w:color w:val="000000"/>
                <w:kern w:val="0"/>
              </w:rPr>
              <w:t xml:space="preserve"> gdy spełniają dowolny z następujących warunków:</w:t>
            </w:r>
          </w:p>
          <w:p w14:paraId="0C5E5497" w14:textId="01692CCE" w:rsidR="002A7E63" w:rsidRPr="00AB387C" w:rsidRDefault="002A7E63" w:rsidP="002A7E6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AB387C">
              <w:rPr>
                <w:rFonts w:ascii="Calibri" w:hAnsi="Calibri" w:cs="Calibri"/>
                <w:color w:val="000000"/>
                <w:kern w:val="0"/>
              </w:rPr>
              <w:lastRenderedPageBreak/>
              <w:t>wnoszą na rynek wewnętrzny innowacyjny, najnowocześniejszy i przełomowy element o znaczącym potencjale gospodarczym;</w:t>
            </w:r>
          </w:p>
          <w:p w14:paraId="3E860381" w14:textId="75069A86" w:rsidR="002A7E63" w:rsidRPr="00AB387C" w:rsidRDefault="002A7E63" w:rsidP="002A7E6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AB387C">
              <w:rPr>
                <w:rFonts w:ascii="Calibri" w:hAnsi="Calibri" w:cs="Calibri"/>
                <w:color w:val="000000"/>
                <w:kern w:val="0"/>
              </w:rPr>
              <w:t>przyczyniają się do ograniczania lub zwalczania strategicznej zależności Unii.</w:t>
            </w:r>
          </w:p>
          <w:p w14:paraId="72B8B54E" w14:textId="77777777" w:rsidR="002A7E63" w:rsidRPr="00AB387C" w:rsidRDefault="002A7E63" w:rsidP="00501843">
            <w:pPr>
              <w:spacing w:after="0"/>
              <w:rPr>
                <w:rFonts w:ascii="Calibri" w:hAnsi="Calibri" w:cs="Calibri"/>
              </w:rPr>
            </w:pPr>
          </w:p>
          <w:p w14:paraId="7158CCC8" w14:textId="22C0CAD1" w:rsidR="00501843" w:rsidRPr="00AB387C" w:rsidRDefault="00501843" w:rsidP="002A7E6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1707" w14:textId="3001EFEC" w:rsidR="00336FE0" w:rsidRPr="00AB387C" w:rsidRDefault="00336FE0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lastRenderedPageBreak/>
              <w:t>0/1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69D9" w14:textId="555E04BA" w:rsidR="00336FE0" w:rsidRPr="00AB387C" w:rsidRDefault="00336FE0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TAK</w:t>
            </w:r>
          </w:p>
        </w:tc>
      </w:tr>
      <w:tr w:rsidR="00EF7902" w:rsidRPr="00AB387C" w14:paraId="44B77892" w14:textId="77777777" w:rsidTr="004E251A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574B" w14:textId="2AA873C0" w:rsidR="00EF7902" w:rsidRPr="00AB387C" w:rsidRDefault="00AB5F79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D17" w14:textId="039DB975" w:rsidR="00484B77" w:rsidRPr="00AB387C" w:rsidRDefault="00EF7902" w:rsidP="002F750B">
            <w:pPr>
              <w:spacing w:before="240" w:after="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 xml:space="preserve">Projekt dotyczy </w:t>
            </w:r>
            <w:r w:rsidR="00747976" w:rsidRPr="00AB387C">
              <w:rPr>
                <w:rFonts w:ascii="Calibri" w:hAnsi="Calibri" w:cs="Calibri"/>
              </w:rPr>
              <w:t xml:space="preserve">obszaru </w:t>
            </w:r>
            <w:r w:rsidRPr="00AB387C">
              <w:rPr>
                <w:rFonts w:ascii="Calibri" w:hAnsi="Calibri" w:cs="Calibri"/>
              </w:rPr>
              <w:t>biotechnologii</w:t>
            </w:r>
            <w:r w:rsidR="00747976" w:rsidRPr="00AB387C">
              <w:rPr>
                <w:rFonts w:ascii="Calibri" w:hAnsi="Calibri" w:cs="Calibri"/>
              </w:rPr>
              <w:t>:</w:t>
            </w:r>
            <w:r w:rsidR="00484B77" w:rsidRPr="00AB387C">
              <w:rPr>
                <w:rFonts w:ascii="Calibri" w:hAnsi="Calibri" w:cs="Calibri"/>
              </w:rPr>
              <w:t xml:space="preserve"> </w:t>
            </w:r>
          </w:p>
          <w:p w14:paraId="00A7CFF0" w14:textId="77777777" w:rsidR="00484B77" w:rsidRPr="00AB387C" w:rsidRDefault="00484B77" w:rsidP="00484B77">
            <w:pPr>
              <w:pStyle w:val="Default"/>
              <w:rPr>
                <w:rFonts w:eastAsiaTheme="minorHAns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AB387C">
              <w:rPr>
                <w:rFonts w:eastAsiaTheme="minorHAnsi"/>
                <w:color w:val="auto"/>
                <w:kern w:val="2"/>
                <w:sz w:val="22"/>
                <w:szCs w:val="22"/>
                <w14:ligatures w14:val="standardContextual"/>
              </w:rPr>
              <w:t>Geny i wektory RNA</w:t>
            </w:r>
          </w:p>
          <w:p w14:paraId="1047DF45" w14:textId="2244ECFD" w:rsidR="00EF7902" w:rsidRPr="00AB387C" w:rsidRDefault="00EF7902" w:rsidP="0050184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19D5" w14:textId="04A0AD02" w:rsidR="00DE3BFA" w:rsidRPr="00AB387C" w:rsidRDefault="00DE3BFA" w:rsidP="00747976">
            <w:pPr>
              <w:pStyle w:val="Default"/>
              <w:rPr>
                <w:rFonts w:eastAsiaTheme="minorHAns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AB387C">
              <w:rPr>
                <w:sz w:val="22"/>
                <w:szCs w:val="22"/>
              </w:rPr>
              <w:t xml:space="preserve">W ramach kryterium ocenie podlega czy </w:t>
            </w:r>
            <w:r w:rsidR="00747976" w:rsidRPr="00AB387C">
              <w:rPr>
                <w:sz w:val="22"/>
                <w:szCs w:val="22"/>
              </w:rPr>
              <w:t xml:space="preserve">zakres </w:t>
            </w:r>
            <w:r w:rsidRPr="00AB387C">
              <w:rPr>
                <w:sz w:val="22"/>
                <w:szCs w:val="22"/>
              </w:rPr>
              <w:t>projekt</w:t>
            </w:r>
            <w:r w:rsidR="00747976" w:rsidRPr="00AB387C">
              <w:rPr>
                <w:sz w:val="22"/>
                <w:szCs w:val="22"/>
              </w:rPr>
              <w:t>u</w:t>
            </w:r>
            <w:r w:rsidRPr="00AB387C">
              <w:rPr>
                <w:sz w:val="22"/>
                <w:szCs w:val="22"/>
              </w:rPr>
              <w:t xml:space="preserve"> wpisuje się w </w:t>
            </w:r>
            <w:r w:rsidR="00747976" w:rsidRPr="00AB387C">
              <w:rPr>
                <w:sz w:val="22"/>
                <w:szCs w:val="22"/>
              </w:rPr>
              <w:t>obszar</w:t>
            </w:r>
            <w:r w:rsidRPr="00AB387C">
              <w:rPr>
                <w:sz w:val="22"/>
                <w:szCs w:val="22"/>
              </w:rPr>
              <w:t xml:space="preserve"> </w:t>
            </w:r>
            <w:r w:rsidR="00747976" w:rsidRPr="00AB387C">
              <w:rPr>
                <w:sz w:val="22"/>
                <w:szCs w:val="22"/>
              </w:rPr>
              <w:t xml:space="preserve">biotechnologii: </w:t>
            </w:r>
            <w:r w:rsidR="00747976" w:rsidRPr="00AB387C">
              <w:rPr>
                <w:rFonts w:eastAsiaTheme="minorHAnsi"/>
                <w:color w:val="auto"/>
                <w:kern w:val="2"/>
                <w:sz w:val="22"/>
                <w:szCs w:val="22"/>
                <w14:ligatures w14:val="standardContextual"/>
              </w:rPr>
              <w:t>Geny i wektory RNA.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C9F6" w14:textId="6C7DDE29" w:rsidR="00EF7902" w:rsidRPr="00AB387C" w:rsidRDefault="00DE3BFA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0/1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A415" w14:textId="266CF075" w:rsidR="00EF7902" w:rsidRPr="00AB387C" w:rsidRDefault="00C707A9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TAK</w:t>
            </w:r>
          </w:p>
        </w:tc>
      </w:tr>
      <w:tr w:rsidR="00A217CA" w:rsidRPr="00AB387C" w14:paraId="2A79A6B1" w14:textId="77777777" w:rsidTr="004E251A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7D1" w14:textId="4DFA2C8E" w:rsidR="00A217CA" w:rsidRPr="00AB387C" w:rsidRDefault="00AB5F79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35E8" w14:textId="65231731" w:rsidR="00A217CA" w:rsidRPr="00AB387C" w:rsidRDefault="00A217CA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Potencjał Wnioskodawcy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C795" w14:textId="575FD4D3" w:rsidR="00485B31" w:rsidRPr="00AB387C" w:rsidRDefault="00A217CA" w:rsidP="00501843">
            <w:pPr>
              <w:spacing w:after="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 xml:space="preserve">Wnioskodawca w ramach ocenianego kryterium wykazuje potencjał do prowadzenia prac przewidzianych w projekcie. W szczególności ocenie będzie poddane czy: </w:t>
            </w:r>
          </w:p>
          <w:p w14:paraId="297D0AD3" w14:textId="2CC96026" w:rsidR="00A217CA" w:rsidRPr="00AB387C" w:rsidRDefault="004F7395" w:rsidP="00485B31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w</w:t>
            </w:r>
            <w:r w:rsidR="00A217CA" w:rsidRPr="00AB387C">
              <w:rPr>
                <w:rFonts w:ascii="Calibri" w:hAnsi="Calibri" w:cs="Calibri"/>
              </w:rPr>
              <w:t>nioskodawca zapewnia zasoby kadrowe, w tym kluczowy personel zaangażowany w realizację projektu oraz zasoby rzeczowe, w tym infrastrukturę (pomieszczenia, aparatura naukowo – badawcza oraz inne wyposażenie niezbędne do realizacji prac w projekcie), które pozwolą na merytoryczną i terminową realizację projektu</w:t>
            </w:r>
            <w:r w:rsidR="00485B31" w:rsidRPr="00AB387C">
              <w:rPr>
                <w:rFonts w:ascii="Calibri" w:hAnsi="Calibri" w:cs="Calibri"/>
              </w:rPr>
              <w:t>;</w:t>
            </w:r>
            <w:r w:rsidR="00A217CA" w:rsidRPr="00AB387C">
              <w:rPr>
                <w:rFonts w:ascii="Calibri" w:hAnsi="Calibri" w:cs="Calibri"/>
              </w:rPr>
              <w:t xml:space="preserve"> </w:t>
            </w:r>
          </w:p>
          <w:p w14:paraId="1130DBFA" w14:textId="2B0A91E5" w:rsidR="00A217CA" w:rsidRPr="00AB387C" w:rsidRDefault="00485B31" w:rsidP="00485B31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w</w:t>
            </w:r>
            <w:r w:rsidR="00A217CA" w:rsidRPr="00AB387C">
              <w:rPr>
                <w:rFonts w:ascii="Calibri" w:hAnsi="Calibri" w:cs="Calibri"/>
              </w:rPr>
              <w:t>nioskodawca musi opisać zasoby, które jego zdaniem są niezbędne dla realizacji projektu oraz podać uzasadnienie. Jeżeli wnioskodawca w momencie składania wniosku nie posiada pełnych zasobów, możliwe jest pozyskanie ich w ramach projektu, wówczas przedstawia on wiarygodne analizy potwierdzające potencjał umożliwiający pozyskanie właściwych zasobów.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BF5E" w14:textId="1B4FEF97" w:rsidR="00A217CA" w:rsidRPr="00AB387C" w:rsidRDefault="00DF6FA4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0/1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3FCE" w14:textId="663E7247" w:rsidR="00A217CA" w:rsidRPr="00AB387C" w:rsidRDefault="00DF6FA4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TAK</w:t>
            </w:r>
          </w:p>
        </w:tc>
      </w:tr>
      <w:tr w:rsidR="006663FA" w:rsidRPr="00AB387C" w14:paraId="2FE86E71" w14:textId="77777777" w:rsidTr="004E251A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29F2" w14:textId="1D37E0C3" w:rsidR="006663FA" w:rsidRPr="00AB387C" w:rsidRDefault="00795392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1290" w14:textId="4DD7A5E1" w:rsidR="006663FA" w:rsidRPr="00AB387C" w:rsidRDefault="006663FA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Stan nabywanego sprzętu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FC7F" w14:textId="5A357373" w:rsidR="006663FA" w:rsidRPr="00AB387C" w:rsidRDefault="006663FA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Wsparcie</w:t>
            </w:r>
            <w:r w:rsidR="00024CE7" w:rsidRPr="00AB387C">
              <w:rPr>
                <w:rFonts w:ascii="Calibri" w:hAnsi="Calibri" w:cs="Calibri"/>
              </w:rPr>
              <w:t xml:space="preserve"> w zakresie zakupu środków trwałych</w:t>
            </w:r>
            <w:r w:rsidRPr="00AB387C">
              <w:rPr>
                <w:rFonts w:ascii="Calibri" w:hAnsi="Calibri" w:cs="Calibri"/>
              </w:rPr>
              <w:t xml:space="preserve"> przewidziane jest jedynie na </w:t>
            </w:r>
            <w:r w:rsidR="00024CE7" w:rsidRPr="00AB387C">
              <w:rPr>
                <w:rFonts w:ascii="Calibri" w:hAnsi="Calibri" w:cs="Calibri"/>
              </w:rPr>
              <w:t xml:space="preserve">nabycie </w:t>
            </w:r>
            <w:r w:rsidRPr="00AB387C">
              <w:rPr>
                <w:rFonts w:ascii="Calibri" w:hAnsi="Calibri" w:cs="Calibri"/>
              </w:rPr>
              <w:t xml:space="preserve">fabrycznie </w:t>
            </w:r>
            <w:r w:rsidR="00024CE7" w:rsidRPr="00AB387C">
              <w:rPr>
                <w:rFonts w:ascii="Calibri" w:hAnsi="Calibri" w:cs="Calibri"/>
              </w:rPr>
              <w:t xml:space="preserve">nowych </w:t>
            </w:r>
            <w:r w:rsidRPr="00AB387C">
              <w:rPr>
                <w:rFonts w:ascii="Calibri" w:hAnsi="Calibri" w:cs="Calibri"/>
              </w:rPr>
              <w:t>sprzęt</w:t>
            </w:r>
            <w:r w:rsidR="00D247CB" w:rsidRPr="00AB387C">
              <w:rPr>
                <w:rFonts w:ascii="Calibri" w:hAnsi="Calibri" w:cs="Calibri"/>
              </w:rPr>
              <w:t>ów</w:t>
            </w:r>
            <w:r w:rsidRPr="00AB387C">
              <w:rPr>
                <w:rFonts w:ascii="Calibri" w:hAnsi="Calibri" w:cs="Calibri"/>
              </w:rPr>
              <w:t>.</w:t>
            </w:r>
          </w:p>
          <w:p w14:paraId="01507A58" w14:textId="40235572" w:rsidR="006663FA" w:rsidRPr="00AB387C" w:rsidRDefault="006663FA" w:rsidP="00501843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2C28" w14:textId="77777777" w:rsidR="006663FA" w:rsidRPr="00AB387C" w:rsidRDefault="006663FA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0/1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B820" w14:textId="77777777" w:rsidR="006663FA" w:rsidRPr="00AB387C" w:rsidRDefault="006663FA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TAK</w:t>
            </w:r>
          </w:p>
        </w:tc>
      </w:tr>
      <w:tr w:rsidR="006663FA" w:rsidRPr="00AB387C" w14:paraId="5F5EE4F4" w14:textId="77777777" w:rsidTr="004E251A">
        <w:trPr>
          <w:trHeight w:val="108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A749" w14:textId="6583A73F" w:rsidR="006663FA" w:rsidRPr="00AB387C" w:rsidRDefault="00795392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80C0" w14:textId="1B078A77" w:rsidR="006663FA" w:rsidRPr="00AB387C" w:rsidRDefault="00802F29" w:rsidP="00635B1E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 xml:space="preserve">Zadania </w:t>
            </w:r>
            <w:r w:rsidR="00822CA7" w:rsidRPr="00AB387C">
              <w:rPr>
                <w:rFonts w:ascii="Calibri" w:hAnsi="Calibri" w:cs="Calibri"/>
              </w:rPr>
              <w:t>i budżet</w:t>
            </w:r>
            <w:r w:rsidR="006663FA" w:rsidRPr="00AB387C">
              <w:rPr>
                <w:rFonts w:ascii="Calibri" w:hAnsi="Calibri" w:cs="Calibri"/>
              </w:rPr>
              <w:t xml:space="preserve"> projektu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7D7D" w14:textId="072583E5" w:rsidR="006663FA" w:rsidRPr="00AB387C" w:rsidRDefault="00802F29" w:rsidP="002F34C8">
            <w:pPr>
              <w:spacing w:before="240" w:after="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 xml:space="preserve">Zadania </w:t>
            </w:r>
            <w:r w:rsidR="00822CA7" w:rsidRPr="00AB387C">
              <w:rPr>
                <w:rFonts w:ascii="Calibri" w:hAnsi="Calibri" w:cs="Calibri"/>
              </w:rPr>
              <w:t>i budżet</w:t>
            </w:r>
            <w:r w:rsidRPr="00AB387C">
              <w:rPr>
                <w:rFonts w:ascii="Calibri" w:hAnsi="Calibri" w:cs="Calibri"/>
              </w:rPr>
              <w:t xml:space="preserve"> zaplanowane w projekcie umożliwiają prawidłową i terminową realizację przedsięwzięcia.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0537" w14:textId="77777777" w:rsidR="006663FA" w:rsidRPr="00AB387C" w:rsidRDefault="006663FA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0/1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02E4" w14:textId="77777777" w:rsidR="006663FA" w:rsidRPr="00AB387C" w:rsidRDefault="006663FA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TAK</w:t>
            </w:r>
          </w:p>
        </w:tc>
      </w:tr>
      <w:tr w:rsidR="00863720" w:rsidRPr="00AB387C" w14:paraId="4F2662BD" w14:textId="77777777" w:rsidTr="004E251A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4391" w14:textId="082F8106" w:rsidR="00863720" w:rsidRPr="00AB387C" w:rsidRDefault="00795392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C740" w14:textId="344E0345" w:rsidR="00863720" w:rsidRPr="00AB387C" w:rsidRDefault="00D247CB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 xml:space="preserve">Zasadność zakupu </w:t>
            </w:r>
            <w:r w:rsidR="00E93208" w:rsidRPr="00AB387C">
              <w:rPr>
                <w:rFonts w:ascii="Calibri" w:hAnsi="Calibri" w:cs="Calibri"/>
              </w:rPr>
              <w:t xml:space="preserve">infrastruktury i wyposażenia 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695" w14:textId="77777777" w:rsidR="00747976" w:rsidRPr="00AB387C" w:rsidRDefault="00747976" w:rsidP="002F750B">
            <w:pPr>
              <w:pStyle w:val="p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10622A80" w14:textId="77777777" w:rsidR="00747976" w:rsidRPr="00AB387C" w:rsidRDefault="00747976" w:rsidP="002F750B">
            <w:pPr>
              <w:pStyle w:val="p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115A461B" w14:textId="5E053B9A" w:rsidR="00747976" w:rsidRPr="00AB387C" w:rsidRDefault="00747976" w:rsidP="00431F74">
            <w:pPr>
              <w:pStyle w:val="Akapitzlist"/>
              <w:spacing w:after="0" w:line="276" w:lineRule="auto"/>
              <w:ind w:left="392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Zakup infrastruktury i wyposażenia będzie możliwy wyłącznie, jeśli są one kluczowe i specyficzne dla rozwoju lub wytwarzania biotechnologii objętych STEP i powiązane z zakresem projektu.</w:t>
            </w:r>
          </w:p>
          <w:p w14:paraId="737CB737" w14:textId="49B00A3A" w:rsidR="00747976" w:rsidRPr="00AB387C" w:rsidRDefault="00747976" w:rsidP="002F750B">
            <w:pPr>
              <w:pStyle w:val="p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B870" w14:textId="38A6EC89" w:rsidR="00863720" w:rsidRPr="00AB387C" w:rsidRDefault="00863720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0/1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531D" w14:textId="76CD1956" w:rsidR="00863720" w:rsidRPr="00AB387C" w:rsidRDefault="00863720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TAK</w:t>
            </w:r>
          </w:p>
        </w:tc>
      </w:tr>
      <w:tr w:rsidR="00927314" w:rsidRPr="00AB387C" w14:paraId="1F59097B" w14:textId="77777777" w:rsidTr="004E251A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0613" w14:textId="6A64F484" w:rsidR="00927314" w:rsidRPr="00AB387C" w:rsidRDefault="00BA0376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C29E" w14:textId="362DF0D8" w:rsidR="00927314" w:rsidRPr="00AB387C" w:rsidRDefault="00FF70A9" w:rsidP="00FF70A9">
            <w:pPr>
              <w:pStyle w:val="Default"/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Pozytywna opinia przedsięwzięcia </w:t>
            </w:r>
            <w:r w:rsidR="00431F74" w:rsidRPr="00AB387C">
              <w:rPr>
                <w:sz w:val="22"/>
                <w:szCs w:val="22"/>
              </w:rPr>
              <w:t xml:space="preserve">obejmującego </w:t>
            </w:r>
            <w:r w:rsidRPr="00AB387C">
              <w:rPr>
                <w:sz w:val="22"/>
                <w:szCs w:val="22"/>
              </w:rPr>
              <w:t>infrastruktur</w:t>
            </w:r>
            <w:r w:rsidR="00431F74" w:rsidRPr="00AB387C">
              <w:rPr>
                <w:sz w:val="22"/>
                <w:szCs w:val="22"/>
              </w:rPr>
              <w:t>ę</w:t>
            </w:r>
            <w:r w:rsidRPr="00AB387C">
              <w:rPr>
                <w:sz w:val="22"/>
                <w:szCs w:val="22"/>
              </w:rPr>
              <w:t xml:space="preserve"> badawcz</w:t>
            </w:r>
            <w:r w:rsidR="00431F74" w:rsidRPr="00AB387C">
              <w:rPr>
                <w:sz w:val="22"/>
                <w:szCs w:val="22"/>
              </w:rPr>
              <w:t>ą (jeśli dotyczy)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1EB0" w14:textId="5FE3A528" w:rsidR="00927314" w:rsidRPr="00AB387C" w:rsidRDefault="00FF70A9" w:rsidP="00822CA7">
            <w:pPr>
              <w:pStyle w:val="Default"/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Projekt został zaopiniowany pozytywnie przez ministra właściwego do spraw rozwoju regionalnego </w:t>
            </w:r>
            <w:r w:rsidR="00AC28E5" w:rsidRPr="00AB387C">
              <w:rPr>
                <w:sz w:val="22"/>
                <w:szCs w:val="22"/>
              </w:rPr>
              <w:t>z udziałem</w:t>
            </w:r>
            <w:r w:rsidRPr="00AB387C">
              <w:rPr>
                <w:sz w:val="22"/>
                <w:szCs w:val="22"/>
              </w:rPr>
              <w:t xml:space="preserve"> ministra właściwego do spraw szkolnictwa wyższego i nauki (dalej „strona rządowa”)</w:t>
            </w:r>
            <w:r w:rsidR="00431F74" w:rsidRPr="00AB387C">
              <w:rPr>
                <w:sz w:val="22"/>
                <w:szCs w:val="22"/>
              </w:rPr>
              <w:t>, zgodnie z</w:t>
            </w:r>
            <w:r w:rsidRPr="00AB387C">
              <w:rPr>
                <w:sz w:val="22"/>
                <w:szCs w:val="22"/>
              </w:rPr>
              <w:t xml:space="preserve"> warunk</w:t>
            </w:r>
            <w:r w:rsidR="00431F74" w:rsidRPr="00AB387C">
              <w:rPr>
                <w:sz w:val="22"/>
                <w:szCs w:val="22"/>
              </w:rPr>
              <w:t>iem</w:t>
            </w:r>
            <w:r w:rsidRPr="00AB387C">
              <w:rPr>
                <w:sz w:val="22"/>
                <w:szCs w:val="22"/>
              </w:rPr>
              <w:t xml:space="preserve"> </w:t>
            </w:r>
            <w:r w:rsidR="00431F74" w:rsidRPr="00AB387C">
              <w:rPr>
                <w:sz w:val="22"/>
                <w:szCs w:val="22"/>
              </w:rPr>
              <w:t>z</w:t>
            </w:r>
            <w:r w:rsidRPr="00AB387C">
              <w:rPr>
                <w:sz w:val="22"/>
                <w:szCs w:val="22"/>
              </w:rPr>
              <w:t xml:space="preserve"> Umowie Partnerstwa. W projekcie uwzględniono zalecenia i uwagi zgłoszone przez stronę rządową podczas </w:t>
            </w:r>
            <w:r w:rsidR="00822CA7" w:rsidRPr="00AB387C">
              <w:rPr>
                <w:sz w:val="22"/>
                <w:szCs w:val="22"/>
              </w:rPr>
              <w:t>opiniowania</w:t>
            </w:r>
            <w:r w:rsidRPr="00AB387C">
              <w:rPr>
                <w:sz w:val="22"/>
                <w:szCs w:val="22"/>
              </w:rPr>
              <w:t xml:space="preserve">. </w:t>
            </w:r>
            <w:r w:rsidR="00822CA7" w:rsidRPr="00AB387C">
              <w:rPr>
                <w:sz w:val="22"/>
                <w:szCs w:val="22"/>
              </w:rPr>
              <w:t>Kryterium uznaje się za spełnione, w przypadku potwierdzenia przez stronę rządow</w:t>
            </w:r>
            <w:r w:rsidR="00431F74" w:rsidRPr="00AB387C">
              <w:rPr>
                <w:sz w:val="22"/>
                <w:szCs w:val="22"/>
              </w:rPr>
              <w:t>ą</w:t>
            </w:r>
            <w:r w:rsidR="00822CA7" w:rsidRPr="00AB387C">
              <w:rPr>
                <w:sz w:val="22"/>
                <w:szCs w:val="22"/>
              </w:rPr>
              <w:t xml:space="preserve"> braku konieczności wydawania opinii. Wnioski o dofinansowanie przekazywane są do ministra właściwego do spraw rozwoju regionalnego w trakcie oceny przez IP IOK.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0002" w14:textId="685A0A23" w:rsidR="00927314" w:rsidRPr="00AB387C" w:rsidRDefault="00927314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0/1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1DCD" w14:textId="1ED8FDC8" w:rsidR="00927314" w:rsidRPr="00AB387C" w:rsidRDefault="00927314" w:rsidP="0050184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TAK</w:t>
            </w:r>
          </w:p>
        </w:tc>
      </w:tr>
    </w:tbl>
    <w:p w14:paraId="2DEA56CA" w14:textId="77777777" w:rsidR="00964549" w:rsidRPr="00AB387C" w:rsidRDefault="00964549" w:rsidP="00964549">
      <w:pPr>
        <w:spacing w:after="0"/>
        <w:rPr>
          <w:rFonts w:ascii="Calibri" w:hAnsi="Calibri" w:cs="Calibri"/>
          <w:b/>
          <w:lang w:val="x-none"/>
        </w:rPr>
      </w:pPr>
    </w:p>
    <w:p w14:paraId="446281C7" w14:textId="77777777" w:rsidR="00964549" w:rsidRPr="00AB387C" w:rsidRDefault="00964549" w:rsidP="00964549">
      <w:pPr>
        <w:spacing w:after="0"/>
        <w:rPr>
          <w:rFonts w:ascii="Calibri" w:hAnsi="Calibri" w:cs="Calibri"/>
          <w:b/>
          <w:lang w:val="x-none"/>
        </w:rPr>
      </w:pPr>
    </w:p>
    <w:p w14:paraId="5FA7B36B" w14:textId="77777777" w:rsidR="00964549" w:rsidRPr="00AB387C" w:rsidRDefault="00964549" w:rsidP="00964549">
      <w:pPr>
        <w:spacing w:after="0"/>
        <w:rPr>
          <w:rFonts w:ascii="Calibri" w:hAnsi="Calibri" w:cs="Calibri"/>
          <w:b/>
          <w:lang w:val="x-none"/>
        </w:rPr>
      </w:pPr>
    </w:p>
    <w:p w14:paraId="650F0E88" w14:textId="56D91D73" w:rsidR="00964549" w:rsidRPr="00AB387C" w:rsidRDefault="00964549" w:rsidP="00964549">
      <w:pPr>
        <w:spacing w:after="0"/>
        <w:rPr>
          <w:rFonts w:ascii="Calibri" w:hAnsi="Calibri" w:cs="Calibri"/>
          <w:b/>
          <w:lang w:val="x-none"/>
        </w:rPr>
      </w:pPr>
      <w:r w:rsidRPr="00AB387C">
        <w:rPr>
          <w:rFonts w:ascii="Calibri" w:hAnsi="Calibri" w:cs="Calibri"/>
          <w:b/>
          <w:lang w:val="x-none"/>
        </w:rPr>
        <w:t>KRYTERIA MERYTORYCZNE – SZCZEGÓŁOWE</w:t>
      </w:r>
    </w:p>
    <w:p w14:paraId="2520DE21" w14:textId="77777777" w:rsidR="00964549" w:rsidRPr="00AB387C" w:rsidRDefault="00964549" w:rsidP="00964549">
      <w:pPr>
        <w:spacing w:after="0"/>
        <w:rPr>
          <w:rFonts w:ascii="Calibri" w:hAnsi="Calibri" w:cs="Calibri"/>
          <w:b/>
        </w:rPr>
      </w:pPr>
    </w:p>
    <w:tbl>
      <w:tblPr>
        <w:tblW w:w="50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844"/>
        <w:gridCol w:w="4766"/>
        <w:gridCol w:w="4395"/>
        <w:gridCol w:w="1259"/>
        <w:gridCol w:w="1256"/>
      </w:tblGrid>
      <w:tr w:rsidR="00C02F45" w:rsidRPr="00AB387C" w14:paraId="04C76C79" w14:textId="436E5309" w:rsidTr="00B10672">
        <w:trPr>
          <w:tblHeader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954A" w14:textId="77777777" w:rsidR="00C02F45" w:rsidRPr="00AB387C" w:rsidRDefault="00C02F45" w:rsidP="00A50BDA">
            <w:pPr>
              <w:spacing w:after="0"/>
              <w:rPr>
                <w:rFonts w:ascii="Calibri" w:hAnsi="Calibri" w:cs="Calibri"/>
                <w:b/>
              </w:rPr>
            </w:pPr>
            <w:r w:rsidRPr="00AB387C">
              <w:rPr>
                <w:rFonts w:ascii="Calibri" w:hAnsi="Calibri" w:cs="Calibri"/>
                <w:b/>
              </w:rPr>
              <w:lastRenderedPageBreak/>
              <w:t>Lp.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E9DD" w14:textId="77777777" w:rsidR="00C02F45" w:rsidRPr="00AB387C" w:rsidRDefault="00C02F45" w:rsidP="00A50BDA">
            <w:pPr>
              <w:spacing w:after="0"/>
              <w:rPr>
                <w:rFonts w:ascii="Calibri" w:hAnsi="Calibri" w:cs="Calibri"/>
                <w:b/>
              </w:rPr>
            </w:pPr>
            <w:r w:rsidRPr="00AB387C">
              <w:rPr>
                <w:rFonts w:ascii="Calibri" w:hAnsi="Calibri" w:cs="Calibri"/>
                <w:b/>
              </w:rPr>
              <w:t>Nazwa kryterium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7CAD" w14:textId="634BB307" w:rsidR="00C02F45" w:rsidRPr="00AB387C" w:rsidRDefault="00811924" w:rsidP="00A50BDA">
            <w:pPr>
              <w:spacing w:after="0"/>
              <w:rPr>
                <w:rFonts w:ascii="Calibri" w:hAnsi="Calibri" w:cs="Calibri"/>
                <w:b/>
              </w:rPr>
            </w:pPr>
            <w:r w:rsidRPr="00AB387C">
              <w:rPr>
                <w:rFonts w:ascii="Calibri" w:hAnsi="Calibri" w:cs="Calibri"/>
                <w:b/>
              </w:rPr>
              <w:t xml:space="preserve">Definicja </w:t>
            </w:r>
            <w:r w:rsidR="00C02F45" w:rsidRPr="00AB387C">
              <w:rPr>
                <w:rFonts w:ascii="Calibri" w:hAnsi="Calibri" w:cs="Calibri"/>
                <w:b/>
              </w:rPr>
              <w:t>kryterium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FE4D" w14:textId="1AB424DE" w:rsidR="00C02F45" w:rsidRPr="00AB387C" w:rsidRDefault="00C02F45" w:rsidP="00A50BDA">
            <w:pPr>
              <w:spacing w:after="0"/>
              <w:rPr>
                <w:rFonts w:ascii="Calibri" w:hAnsi="Calibri" w:cs="Calibri"/>
                <w:b/>
              </w:rPr>
            </w:pPr>
            <w:r w:rsidRPr="00AB387C">
              <w:rPr>
                <w:rFonts w:ascii="Calibri" w:hAnsi="Calibri" w:cs="Calibri"/>
                <w:b/>
              </w:rPr>
              <w:t>Punktacja</w:t>
            </w:r>
            <w:r w:rsidR="00811924" w:rsidRPr="00AB387C">
              <w:rPr>
                <w:rFonts w:ascii="Calibri" w:hAnsi="Calibri" w:cs="Calibri"/>
                <w:b/>
              </w:rPr>
              <w:t>/Opis znaczenia dla wyniku oceny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7ECE" w14:textId="6A1FEF7A" w:rsidR="00C02F45" w:rsidRPr="00AB387C" w:rsidRDefault="00811924" w:rsidP="00A50BDA">
            <w:pPr>
              <w:spacing w:after="0"/>
              <w:rPr>
                <w:rFonts w:ascii="Calibri" w:hAnsi="Calibri" w:cs="Calibri"/>
                <w:b/>
              </w:rPr>
            </w:pPr>
            <w:r w:rsidRPr="00AB387C">
              <w:rPr>
                <w:rFonts w:ascii="Calibri" w:hAnsi="Calibri" w:cs="Calibri"/>
                <w:b/>
              </w:rPr>
              <w:t>Maksymalna liczba punktów</w:t>
            </w:r>
          </w:p>
        </w:tc>
        <w:tc>
          <w:tcPr>
            <w:tcW w:w="444" w:type="pct"/>
          </w:tcPr>
          <w:p w14:paraId="7A7466FE" w14:textId="2DB0253C" w:rsidR="00C02F45" w:rsidRPr="00AB387C" w:rsidRDefault="00811924" w:rsidP="00A50BDA">
            <w:pPr>
              <w:spacing w:after="0"/>
              <w:rPr>
                <w:rFonts w:ascii="Calibri" w:hAnsi="Calibri" w:cs="Calibri"/>
                <w:b/>
              </w:rPr>
            </w:pPr>
            <w:r w:rsidRPr="00AB387C">
              <w:rPr>
                <w:rFonts w:ascii="Calibri" w:hAnsi="Calibri" w:cs="Calibri"/>
                <w:b/>
              </w:rPr>
              <w:t>Możliwość uzupełnienia</w:t>
            </w:r>
          </w:p>
        </w:tc>
      </w:tr>
      <w:tr w:rsidR="00E165F2" w:rsidRPr="00AB387C" w14:paraId="7D2A53FF" w14:textId="77777777" w:rsidTr="00B10672">
        <w:trPr>
          <w:trHeight w:val="283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AF40" w14:textId="15F100C2" w:rsidR="00E165F2" w:rsidRPr="00AB387C" w:rsidRDefault="00310BE8" w:rsidP="00A50BDA">
            <w:pPr>
              <w:spacing w:before="240" w:after="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1.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FD1F" w14:textId="43952B67" w:rsidR="00E165F2" w:rsidRPr="00AB387C" w:rsidRDefault="00E165F2" w:rsidP="00AB387C">
            <w:pPr>
              <w:spacing w:before="240" w:after="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Potencjał technologii krytycznej w projekcie</w:t>
            </w:r>
            <w:r w:rsidR="002F34C8" w:rsidRPr="00AB387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AD89" w14:textId="0D57501D" w:rsidR="00B201A9" w:rsidRPr="00AB387C" w:rsidRDefault="005D1909" w:rsidP="00A50BDA">
            <w:pPr>
              <w:pStyle w:val="p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t xml:space="preserve">Kryterium promuje projekty, </w:t>
            </w:r>
            <w:r w:rsidR="00160D05" w:rsidRPr="00AB387C">
              <w:rPr>
                <w:rFonts w:ascii="Calibri" w:hAnsi="Calibri" w:cs="Calibri"/>
                <w:sz w:val="22"/>
                <w:szCs w:val="22"/>
              </w:rPr>
              <w:t>w których technologia krytyczna</w:t>
            </w:r>
            <w:r w:rsidR="00E24C83" w:rsidRPr="00AB38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60D05" w:rsidRPr="00AB387C">
              <w:rPr>
                <w:rFonts w:ascii="Calibri" w:hAnsi="Calibri" w:cs="Calibri"/>
                <w:sz w:val="22"/>
                <w:szCs w:val="22"/>
              </w:rPr>
              <w:t>wnosi na rynek wewnętrzny element:</w:t>
            </w:r>
          </w:p>
          <w:p w14:paraId="51274F71" w14:textId="4F631955" w:rsidR="00E165F2" w:rsidRPr="00AB387C" w:rsidRDefault="00E165F2" w:rsidP="00A50BDA">
            <w:pPr>
              <w:pStyle w:val="pf0"/>
              <w:spacing w:before="24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t xml:space="preserve">1) innowacyjny, czyli wprowadza znaczące udoskonalenia lub zmiany w danej dziedzinie lub gałęzi przemysłu względem rozwiązań dostępnych na rynku wewnętrznym, </w:t>
            </w:r>
          </w:p>
          <w:p w14:paraId="6C1F8913" w14:textId="628A50B3" w:rsidR="00E165F2" w:rsidRPr="00AB387C" w:rsidRDefault="00E165F2" w:rsidP="00A50BDA">
            <w:pPr>
              <w:pStyle w:val="pf0"/>
              <w:spacing w:before="24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t xml:space="preserve">2) najnowocześniejszy, czyli technologia jest nowa lub niedawno opracowana, która może być rezultatem prac badawczych, zyskująca na znaczeniu i z potencjałem znaczącego wzrostu lub oddziaływania, </w:t>
            </w:r>
          </w:p>
          <w:p w14:paraId="10DA94BE" w14:textId="66AFA12D" w:rsidR="00E165F2" w:rsidRPr="00AB387C" w:rsidRDefault="00E165F2" w:rsidP="00A50BDA">
            <w:pPr>
              <w:pStyle w:val="pf0"/>
              <w:spacing w:before="24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t>3) przełomowy, czyli udoskonaloną lub całkowicie nową technologię, która przyczynia się do radykalnej zmiany lub tworzenia rynku; technologia krytyczna jest przełomowa, jeśli w porównaniu do obecnie dostępnej lub będącej w trakcie opracowywania w UE, jest bardziej zaawansowana, innowacyjna i wyrafinowana</w:t>
            </w:r>
            <w:r w:rsidR="00304E86" w:rsidRPr="00AB387C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708BE469" w14:textId="68E30FF3" w:rsidR="00363C70" w:rsidRPr="00AB387C" w:rsidRDefault="00483424" w:rsidP="00E64E4E">
            <w:pPr>
              <w:pStyle w:val="pf0"/>
              <w:numPr>
                <w:ilvl w:val="1"/>
                <w:numId w:val="25"/>
              </w:numPr>
              <w:spacing w:before="24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t>4</w:t>
            </w:r>
            <w:r w:rsidR="00E24C83" w:rsidRPr="00AB387C">
              <w:rPr>
                <w:rFonts w:ascii="Calibri" w:hAnsi="Calibri" w:cs="Calibri"/>
                <w:sz w:val="22"/>
                <w:szCs w:val="22"/>
              </w:rPr>
              <w:t>) wykazujący znaczący potencjał gospodarczy poprzez wywieranie istotnego i pozytywnego wpływu na rozwój rynku wewnętrznego,</w:t>
            </w:r>
          </w:p>
          <w:p w14:paraId="48648F65" w14:textId="77777777" w:rsidR="00304E86" w:rsidRPr="00AB387C" w:rsidRDefault="00304E86" w:rsidP="00E64E4E">
            <w:pPr>
              <w:pStyle w:val="pf0"/>
              <w:numPr>
                <w:ilvl w:val="1"/>
                <w:numId w:val="25"/>
              </w:numPr>
              <w:spacing w:before="24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1DB02765" w14:textId="30BE50A8" w:rsidR="00E165F2" w:rsidRPr="00AB387C" w:rsidRDefault="00483424" w:rsidP="00E64E4E">
            <w:pPr>
              <w:pStyle w:val="pf0"/>
              <w:numPr>
                <w:ilvl w:val="2"/>
                <w:numId w:val="25"/>
              </w:numPr>
              <w:spacing w:before="24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t>5</w:t>
            </w:r>
            <w:r w:rsidR="00E165F2" w:rsidRPr="00AB387C">
              <w:rPr>
                <w:rFonts w:ascii="Calibri" w:hAnsi="Calibri" w:cs="Calibri"/>
                <w:sz w:val="22"/>
                <w:szCs w:val="22"/>
              </w:rPr>
              <w:t>)</w:t>
            </w:r>
            <w:r w:rsidR="006C5EEC" w:rsidRPr="00AB38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165F2" w:rsidRPr="00AB387C">
              <w:rPr>
                <w:rFonts w:ascii="Calibri" w:hAnsi="Calibri" w:cs="Calibri"/>
                <w:sz w:val="22"/>
                <w:szCs w:val="22"/>
              </w:rPr>
              <w:t>w przypadku projektów dotyczących elementów łańcucha wartości przyczynia się do ochrony i wzmocnienia łańcucha wartości technologii krytycznej.</w:t>
            </w:r>
          </w:p>
          <w:p w14:paraId="328C640E" w14:textId="4F18AA83" w:rsidR="0051260C" w:rsidRPr="00AB387C" w:rsidRDefault="0051260C" w:rsidP="00E64E4E">
            <w:pPr>
              <w:pStyle w:val="pf0"/>
              <w:spacing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lastRenderedPageBreak/>
              <w:t>Innowacja w wymiarze rynku wewnętrznego UE rozumiana jest zgodnie z definicją określoną z Podręcznikiem Oslo Manual 2018 w odniesieniu do zasięgu innowacji na rynek wewnętrzny, tj. 27 państw UE oraz Islandię, Liechtenstein i Norwegię (dzięki Porozumieniu o Europejskim Obszarze Gospodarczym) oraz Szwajcarię.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FE81" w14:textId="1AF75F5F" w:rsidR="00B201A9" w:rsidRPr="00AB387C" w:rsidRDefault="00B201A9" w:rsidP="00A50BDA">
            <w:pPr>
              <w:pStyle w:val="pf0"/>
              <w:spacing w:before="24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lastRenderedPageBreak/>
              <w:t>Czy technologia, której dotyczy projekt, wnosi na rynek wewnętrzny elemen</w:t>
            </w:r>
            <w:r w:rsidR="003B61BB" w:rsidRPr="00AB387C">
              <w:rPr>
                <w:rFonts w:ascii="Calibri" w:hAnsi="Calibri" w:cs="Calibri"/>
                <w:sz w:val="22"/>
                <w:szCs w:val="22"/>
              </w:rPr>
              <w:t>ty wymienione w definicji.</w:t>
            </w:r>
            <w:r w:rsidRPr="00AB387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7CE0E18" w14:textId="75964BA4" w:rsidR="0051260C" w:rsidRPr="00AB387C" w:rsidRDefault="0051260C" w:rsidP="00A50BDA">
            <w:pPr>
              <w:spacing w:before="240" w:after="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 xml:space="preserve">1 pkt – </w:t>
            </w:r>
            <w:r w:rsidR="004054FC" w:rsidRPr="00AB387C">
              <w:rPr>
                <w:rFonts w:ascii="Calibri" w:hAnsi="Calibri" w:cs="Calibri"/>
              </w:rPr>
              <w:t xml:space="preserve">za każdy element wnoszony na rynek </w:t>
            </w:r>
            <w:r w:rsidR="003B61BB" w:rsidRPr="00AB387C">
              <w:rPr>
                <w:rFonts w:ascii="Calibri" w:hAnsi="Calibri" w:cs="Calibri"/>
              </w:rPr>
              <w:t>wewnętrzny</w:t>
            </w:r>
          </w:p>
          <w:p w14:paraId="5C2B0872" w14:textId="77777777" w:rsidR="008712C0" w:rsidRDefault="008712C0" w:rsidP="008712C0">
            <w:pPr>
              <w:pStyle w:val="Default"/>
              <w:rPr>
                <w:color w:val="000009"/>
                <w:sz w:val="22"/>
                <w:szCs w:val="22"/>
              </w:rPr>
            </w:pPr>
          </w:p>
          <w:p w14:paraId="68C16D0B" w14:textId="7C3A1B02" w:rsidR="008712C0" w:rsidRPr="00AB387C" w:rsidRDefault="008712C0" w:rsidP="008712C0">
            <w:pPr>
              <w:pStyle w:val="Default"/>
              <w:rPr>
                <w:sz w:val="22"/>
                <w:szCs w:val="22"/>
              </w:rPr>
            </w:pPr>
            <w:r w:rsidRPr="00AB387C">
              <w:rPr>
                <w:color w:val="000009"/>
                <w:sz w:val="22"/>
                <w:szCs w:val="22"/>
              </w:rPr>
              <w:t xml:space="preserve">Brak spełnienia kryterium lub brak informacji w tym zakresie – 0 pkt. </w:t>
            </w:r>
          </w:p>
          <w:p w14:paraId="4EE7461A" w14:textId="447A3202" w:rsidR="00E165F2" w:rsidRPr="00AB387C" w:rsidDel="00C02F45" w:rsidRDefault="008712C0" w:rsidP="008712C0">
            <w:pPr>
              <w:spacing w:before="240" w:after="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 xml:space="preserve">Punkty w ramach kryterium sumują się. </w:t>
            </w:r>
            <w:r w:rsidR="00310BE8" w:rsidRPr="00AB387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2532" w14:textId="04F105D6" w:rsidR="00E165F2" w:rsidRPr="00AB387C" w:rsidDel="00C02F45" w:rsidRDefault="00483424" w:rsidP="00A50BDA">
            <w:pPr>
              <w:spacing w:before="240" w:after="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5</w:t>
            </w:r>
          </w:p>
        </w:tc>
        <w:tc>
          <w:tcPr>
            <w:tcW w:w="444" w:type="pct"/>
          </w:tcPr>
          <w:p w14:paraId="5794A928" w14:textId="6E9A49E9" w:rsidR="00E165F2" w:rsidRPr="00AB387C" w:rsidRDefault="00AB387C" w:rsidP="00A50BDA">
            <w:pPr>
              <w:spacing w:before="240" w:after="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TAK</w:t>
            </w:r>
          </w:p>
        </w:tc>
      </w:tr>
      <w:tr w:rsidR="0028607A" w:rsidRPr="00AB387C" w14:paraId="7C4BACB2" w14:textId="77777777" w:rsidTr="00B10672">
        <w:trPr>
          <w:trHeight w:val="136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291E" w14:textId="04FA2CBF" w:rsidR="0028607A" w:rsidRPr="00AB387C" w:rsidRDefault="000A0199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26BD" w14:textId="70D840FD" w:rsidR="0028607A" w:rsidRPr="00AB387C" w:rsidRDefault="0028607A" w:rsidP="00C02F45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Potencjał do realizacji projektu w zakresie zasobów technicznych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BBA9" w14:textId="3760D43C" w:rsidR="0028607A" w:rsidRPr="00AB387C" w:rsidRDefault="00640E21" w:rsidP="0028607A">
            <w:pPr>
              <w:pStyle w:val="pf0"/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t>K</w:t>
            </w:r>
            <w:r w:rsidR="00971C0A" w:rsidRPr="00AB387C">
              <w:rPr>
                <w:rFonts w:ascii="Calibri" w:hAnsi="Calibri" w:cs="Calibri"/>
                <w:sz w:val="22"/>
                <w:szCs w:val="22"/>
              </w:rPr>
              <w:t>ryterium promuje projekt</w:t>
            </w:r>
            <w:r w:rsidRPr="00AB387C">
              <w:rPr>
                <w:rFonts w:ascii="Calibri" w:hAnsi="Calibri" w:cs="Calibri"/>
                <w:sz w:val="22"/>
                <w:szCs w:val="22"/>
              </w:rPr>
              <w:t>y pod kątem</w:t>
            </w:r>
            <w:r w:rsidR="00413881" w:rsidRPr="00AB38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87C">
              <w:rPr>
                <w:rFonts w:ascii="Calibri" w:hAnsi="Calibri" w:cs="Calibri"/>
                <w:sz w:val="22"/>
                <w:szCs w:val="22"/>
              </w:rPr>
              <w:t>z</w:t>
            </w:r>
            <w:r w:rsidR="0028607A" w:rsidRPr="00AB387C">
              <w:rPr>
                <w:rFonts w:ascii="Calibri" w:hAnsi="Calibri" w:cs="Calibri"/>
                <w:sz w:val="22"/>
                <w:szCs w:val="22"/>
              </w:rPr>
              <w:t>asob</w:t>
            </w:r>
            <w:r w:rsidRPr="00AB387C">
              <w:rPr>
                <w:rFonts w:ascii="Calibri" w:hAnsi="Calibri" w:cs="Calibri"/>
                <w:sz w:val="22"/>
                <w:szCs w:val="22"/>
              </w:rPr>
              <w:t>ów</w:t>
            </w:r>
            <w:r w:rsidR="0028607A" w:rsidRPr="00AB387C">
              <w:rPr>
                <w:rFonts w:ascii="Calibri" w:hAnsi="Calibri" w:cs="Calibri"/>
                <w:sz w:val="22"/>
                <w:szCs w:val="22"/>
              </w:rPr>
              <w:t xml:space="preserve"> techniczn</w:t>
            </w:r>
            <w:r w:rsidRPr="00AB387C">
              <w:rPr>
                <w:rFonts w:ascii="Calibri" w:hAnsi="Calibri" w:cs="Calibri"/>
                <w:sz w:val="22"/>
                <w:szCs w:val="22"/>
              </w:rPr>
              <w:t>ych</w:t>
            </w:r>
            <w:r w:rsidR="0028607A" w:rsidRPr="00AB387C">
              <w:rPr>
                <w:rFonts w:ascii="Calibri" w:hAnsi="Calibri" w:cs="Calibri"/>
                <w:sz w:val="22"/>
                <w:szCs w:val="22"/>
              </w:rPr>
              <w:t xml:space="preserve"> oraz wartości niematerialn</w:t>
            </w:r>
            <w:r w:rsidRPr="00AB387C">
              <w:rPr>
                <w:rFonts w:ascii="Calibri" w:hAnsi="Calibri" w:cs="Calibri"/>
                <w:sz w:val="22"/>
                <w:szCs w:val="22"/>
              </w:rPr>
              <w:t>ych</w:t>
            </w:r>
            <w:r w:rsidR="0028607A" w:rsidRPr="00AB387C">
              <w:rPr>
                <w:rFonts w:ascii="Calibri" w:hAnsi="Calibri" w:cs="Calibri"/>
                <w:sz w:val="22"/>
                <w:szCs w:val="22"/>
              </w:rPr>
              <w:t xml:space="preserve"> i prawn</w:t>
            </w:r>
            <w:r w:rsidRPr="00AB387C">
              <w:rPr>
                <w:rFonts w:ascii="Calibri" w:hAnsi="Calibri" w:cs="Calibri"/>
                <w:sz w:val="22"/>
                <w:szCs w:val="22"/>
              </w:rPr>
              <w:t>ych.</w:t>
            </w:r>
          </w:p>
          <w:p w14:paraId="7D262A9E" w14:textId="45EF0D1C" w:rsidR="0028607A" w:rsidRPr="00AB387C" w:rsidRDefault="0028607A" w:rsidP="0028607A">
            <w:pPr>
              <w:pStyle w:val="pf0"/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t>Oceni</w:t>
            </w:r>
            <w:r w:rsidR="00413881" w:rsidRPr="00AB387C">
              <w:rPr>
                <w:rFonts w:ascii="Calibri" w:hAnsi="Calibri" w:cs="Calibri"/>
                <w:sz w:val="22"/>
                <w:szCs w:val="22"/>
              </w:rPr>
              <w:t xml:space="preserve">ane jest </w:t>
            </w:r>
            <w:r w:rsidR="0059757C" w:rsidRPr="00AB387C">
              <w:rPr>
                <w:rFonts w:ascii="Calibri" w:hAnsi="Calibri" w:cs="Calibri"/>
                <w:sz w:val="22"/>
                <w:szCs w:val="22"/>
              </w:rPr>
              <w:t>czy</w:t>
            </w:r>
            <w:r w:rsidRPr="00AB387C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C3DE2A4" w14:textId="2128200B" w:rsidR="0028607A" w:rsidRPr="00AB387C" w:rsidRDefault="0028607A" w:rsidP="0028607A">
            <w:pPr>
              <w:pStyle w:val="pf0"/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t>1) wnioskodawca/członkowie konsorcjum łącznie posiada/posiadają odpowiednie zasoby techniczne, w tym infrastrukturę naukowo-badawczą (tj. pomieszczenia, aparaturę oraz inne niezbędne wyposażenie) do realizacji projektu; jeżeli nie posiadają wszystkich niezbędnych zasobów, oceni</w:t>
            </w:r>
            <w:r w:rsidR="00413881" w:rsidRPr="00AB387C">
              <w:rPr>
                <w:rFonts w:ascii="Calibri" w:hAnsi="Calibri" w:cs="Calibri"/>
                <w:sz w:val="22"/>
                <w:szCs w:val="22"/>
              </w:rPr>
              <w:t>ane jest</w:t>
            </w:r>
            <w:r w:rsidRPr="00AB387C">
              <w:rPr>
                <w:rFonts w:ascii="Calibri" w:hAnsi="Calibri" w:cs="Calibri"/>
                <w:sz w:val="22"/>
                <w:szCs w:val="22"/>
              </w:rPr>
              <w:t xml:space="preserve"> czy we wniosku zaplanowano pozyskanie odpowiednich zasobów;</w:t>
            </w:r>
          </w:p>
          <w:p w14:paraId="2D2C6F24" w14:textId="77777777" w:rsidR="0028607A" w:rsidRPr="00AB387C" w:rsidRDefault="0028607A" w:rsidP="0028607A">
            <w:pPr>
              <w:pStyle w:val="pf0"/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t>2) zasoby techniczne zostały właściwie dobrane do rodzaju i zakresu poszczególnych zadań w projekcie;</w:t>
            </w:r>
          </w:p>
          <w:p w14:paraId="1CB08F72" w14:textId="1259535B" w:rsidR="0028607A" w:rsidRPr="00AB387C" w:rsidRDefault="0028607A" w:rsidP="0028607A">
            <w:pPr>
              <w:pStyle w:val="pf0"/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lastRenderedPageBreak/>
              <w:t>3) wnioskodawca/członkowie konsorcjum dysponują prawami własności intelektualnej, które są niezbędne dla prowadzenia prac B+R zaplanowanych w projekcie</w:t>
            </w:r>
            <w:r w:rsidR="0059757C" w:rsidRPr="00AB387C">
              <w:rPr>
                <w:rFonts w:ascii="Calibri" w:hAnsi="Calibri" w:cs="Calibri"/>
                <w:sz w:val="22"/>
                <w:szCs w:val="22"/>
              </w:rPr>
              <w:t xml:space="preserve"> (jeśli dotyczy)</w:t>
            </w:r>
            <w:r w:rsidRPr="00AB387C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57A6D509" w14:textId="34B05537" w:rsidR="0028607A" w:rsidRPr="00AB387C" w:rsidRDefault="0028607A" w:rsidP="00C27A56">
            <w:pPr>
              <w:pStyle w:val="pf0"/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t xml:space="preserve">4) w przypadku konsorcjum zasoby techniczne oraz wartości niematerialne i prawne członków konsorcjum są komplementarne i adekwatne do zakresu prowadzonych przez każdego z nich prac. 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46EC" w14:textId="115E93A7" w:rsidR="00AB387C" w:rsidRPr="00AB387C" w:rsidRDefault="008712C0" w:rsidP="00AB387C">
            <w:pPr>
              <w:spacing w:before="240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2 </w:t>
            </w:r>
            <w:r w:rsidR="0059757C" w:rsidRPr="00AB387C">
              <w:rPr>
                <w:rFonts w:ascii="Calibri" w:hAnsi="Calibri" w:cs="Calibri"/>
              </w:rPr>
              <w:t>pkt</w:t>
            </w:r>
            <w:r w:rsidR="00AB387C" w:rsidRPr="00AB387C">
              <w:rPr>
                <w:rFonts w:ascii="Calibri" w:hAnsi="Calibri" w:cs="Calibri"/>
              </w:rPr>
              <w:t xml:space="preserve"> -</w:t>
            </w:r>
            <w:r w:rsidR="0059757C" w:rsidRPr="00AB387C">
              <w:rPr>
                <w:rFonts w:ascii="Calibri" w:hAnsi="Calibri" w:cs="Calibri"/>
              </w:rPr>
              <w:t xml:space="preserve"> za każdy z warunków</w:t>
            </w:r>
          </w:p>
          <w:p w14:paraId="2B4BDDA4" w14:textId="77777777" w:rsidR="008712C0" w:rsidRPr="00AB387C" w:rsidRDefault="008712C0" w:rsidP="008712C0">
            <w:pPr>
              <w:pStyle w:val="Default"/>
              <w:rPr>
                <w:sz w:val="22"/>
                <w:szCs w:val="22"/>
              </w:rPr>
            </w:pPr>
            <w:r w:rsidRPr="00AB387C">
              <w:rPr>
                <w:color w:val="000009"/>
                <w:sz w:val="22"/>
                <w:szCs w:val="22"/>
              </w:rPr>
              <w:t xml:space="preserve">Brak spełnienia kryterium lub brak informacji w tym zakresie – 0 pkt. </w:t>
            </w:r>
          </w:p>
          <w:p w14:paraId="364792D6" w14:textId="196B34DD" w:rsidR="0059757C" w:rsidRPr="00AB387C" w:rsidRDefault="008712C0" w:rsidP="008712C0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Punkty w ramach kryterium sumują się.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EA0A" w14:textId="583AD7ED" w:rsidR="0028607A" w:rsidRPr="00AB387C" w:rsidRDefault="0059757C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6</w:t>
            </w:r>
          </w:p>
        </w:tc>
        <w:tc>
          <w:tcPr>
            <w:tcW w:w="444" w:type="pct"/>
          </w:tcPr>
          <w:p w14:paraId="06977AB9" w14:textId="30125925" w:rsidR="0028607A" w:rsidRPr="00AB387C" w:rsidRDefault="00AB387C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TAK</w:t>
            </w:r>
          </w:p>
        </w:tc>
      </w:tr>
      <w:tr w:rsidR="0051260C" w:rsidRPr="00AB387C" w14:paraId="77BFDC78" w14:textId="77777777" w:rsidTr="00B10672">
        <w:trPr>
          <w:trHeight w:val="283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FB17" w14:textId="5F9C102B" w:rsidR="0051260C" w:rsidRPr="00AB387C" w:rsidRDefault="00BE6A2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8FE0" w14:textId="03F36E05" w:rsidR="0051260C" w:rsidRPr="00AB387C" w:rsidRDefault="00AB5F79" w:rsidP="00C02F45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Zakres oddziaływania projektu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5B24" w14:textId="5B94C973" w:rsidR="0051260C" w:rsidRPr="00AB387C" w:rsidRDefault="00AB5F79" w:rsidP="00C02F45">
            <w:pPr>
              <w:pStyle w:val="pf0"/>
              <w:spacing w:before="240" w:beforeAutospacing="0" w:after="240" w:afterAutospacing="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t>Wytwarzana technologia krytyczna przyczyni się do wzrostu znaczenia Wnioskodawcy na rynku światowym (wnioskodawca istotnie zwiększy skalę swojej działalności w wyniku realizacji projektu).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B66E" w14:textId="3DC7FF16" w:rsidR="00AB5F79" w:rsidRPr="00AB387C" w:rsidRDefault="00AB5F79" w:rsidP="00AB5F79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Kryterium weryfikuje czy jest spełniony co najmniej jeden z poniższych warunków:</w:t>
            </w:r>
          </w:p>
          <w:p w14:paraId="31DDA1CF" w14:textId="5AF29DB4" w:rsidR="00AB5F79" w:rsidRPr="00AB387C" w:rsidRDefault="00AB5F79" w:rsidP="00AB5F79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1. Wytwarzana technologia krytyczna przyczyni się do wzrostu znaczenia Wnioskodawcy na rynku światowym (wnioskodawca zwiększy skalę swojej działalności w wyniku realizacji projektu)</w:t>
            </w:r>
            <w:r w:rsidR="00413881" w:rsidRPr="00AB387C">
              <w:rPr>
                <w:rFonts w:ascii="Calibri" w:hAnsi="Calibri" w:cs="Calibri"/>
              </w:rPr>
              <w:t>;</w:t>
            </w:r>
            <w:r w:rsidRPr="00AB387C">
              <w:rPr>
                <w:rFonts w:ascii="Calibri" w:hAnsi="Calibri" w:cs="Calibri"/>
              </w:rPr>
              <w:t xml:space="preserve"> </w:t>
            </w:r>
          </w:p>
          <w:p w14:paraId="43339F7B" w14:textId="05D37DA9" w:rsidR="000F31C6" w:rsidRPr="00AB387C" w:rsidRDefault="00AB5F79" w:rsidP="00AB5F79">
            <w:pPr>
              <w:numPr>
                <w:ilvl w:val="1"/>
                <w:numId w:val="27"/>
              </w:num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 xml:space="preserve">2. </w:t>
            </w:r>
            <w:r w:rsidR="00413881" w:rsidRPr="00AB387C">
              <w:rPr>
                <w:rFonts w:ascii="Calibri" w:hAnsi="Calibri" w:cs="Calibri"/>
              </w:rPr>
              <w:t>Czy</w:t>
            </w:r>
            <w:r w:rsidRPr="00AB387C">
              <w:rPr>
                <w:rFonts w:ascii="Calibri" w:hAnsi="Calibri" w:cs="Calibri"/>
              </w:rPr>
              <w:t xml:space="preserve"> Wnioskodawca wykazał we wniosku o dofinansowanie informacje dotyczące parametrów dla planowanej inwestycji dot. potencjału technologii krytycznej będącej przedmiotem projektu do zmian na rynku wewnętrznym UE i poza nim w zakresie: </w:t>
            </w:r>
          </w:p>
          <w:p w14:paraId="1E9541D1" w14:textId="58B0D87F" w:rsidR="00AB5F79" w:rsidRPr="00AB387C" w:rsidRDefault="00AB5F79" w:rsidP="000F31C6">
            <w:pPr>
              <w:numPr>
                <w:ilvl w:val="1"/>
                <w:numId w:val="28"/>
              </w:num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potencjału wzrostu rynku</w:t>
            </w:r>
            <w:r w:rsidR="00413881" w:rsidRPr="00AB387C">
              <w:rPr>
                <w:rFonts w:ascii="Calibri" w:hAnsi="Calibri" w:cs="Calibri"/>
              </w:rPr>
              <w:t>,</w:t>
            </w:r>
          </w:p>
          <w:p w14:paraId="5F0AAA91" w14:textId="0A4C1458" w:rsidR="00AB5F79" w:rsidRPr="00AB387C" w:rsidRDefault="00AB5F79" w:rsidP="000F31C6">
            <w:pPr>
              <w:numPr>
                <w:ilvl w:val="1"/>
                <w:numId w:val="28"/>
              </w:num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skali przyswojenia technologii krytycznej na rynku wewnętrznym UE i poza nim</w:t>
            </w:r>
            <w:r w:rsidR="00413881" w:rsidRPr="00AB387C">
              <w:rPr>
                <w:rFonts w:ascii="Calibri" w:hAnsi="Calibri" w:cs="Calibri"/>
              </w:rPr>
              <w:t>,</w:t>
            </w:r>
            <w:r w:rsidRPr="00AB387C">
              <w:rPr>
                <w:rFonts w:ascii="Calibri" w:hAnsi="Calibri" w:cs="Calibri"/>
              </w:rPr>
              <w:t xml:space="preserve"> </w:t>
            </w:r>
          </w:p>
          <w:p w14:paraId="373E6CFF" w14:textId="3840C285" w:rsidR="00AB5F79" w:rsidRPr="00AB387C" w:rsidRDefault="00AB5F79" w:rsidP="000F31C6">
            <w:pPr>
              <w:numPr>
                <w:ilvl w:val="1"/>
                <w:numId w:val="28"/>
              </w:num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lastRenderedPageBreak/>
              <w:t>wpływu na konkurencyjność i strukturę rynku wewnętrznego UE i poza nim</w:t>
            </w:r>
            <w:r w:rsidR="00413881" w:rsidRPr="00AB387C">
              <w:rPr>
                <w:rFonts w:ascii="Calibri" w:hAnsi="Calibri" w:cs="Calibri"/>
              </w:rPr>
              <w:t>;</w:t>
            </w:r>
          </w:p>
          <w:p w14:paraId="073AB8ED" w14:textId="2D1C7398" w:rsidR="00AB5F79" w:rsidRPr="00AB387C" w:rsidRDefault="00AB5F79" w:rsidP="00AB5F79">
            <w:pPr>
              <w:numPr>
                <w:ilvl w:val="1"/>
                <w:numId w:val="27"/>
              </w:num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 xml:space="preserve">3. Projekt przyniesie pozytywne, szersze skutki społeczne, ekonomiczne, środowiskowe lub klimatyczne o znaczeniu co najmniej na poziomie UE. </w:t>
            </w:r>
          </w:p>
          <w:p w14:paraId="19DE36D2" w14:textId="2C4347FA" w:rsidR="00413881" w:rsidRPr="00AB387C" w:rsidRDefault="00413881" w:rsidP="00413881">
            <w:pPr>
              <w:numPr>
                <w:ilvl w:val="1"/>
                <w:numId w:val="27"/>
              </w:num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  <w:color w:val="000000"/>
                <w:kern w:val="0"/>
              </w:rPr>
              <w:t>9 pkt – projekt spełnia wszystkie trzy wskazane warunki,</w:t>
            </w:r>
          </w:p>
          <w:p w14:paraId="71E542BB" w14:textId="140D2BE3" w:rsidR="00413881" w:rsidRPr="00AB387C" w:rsidRDefault="00413881" w:rsidP="004138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AB387C">
              <w:rPr>
                <w:rFonts w:ascii="Calibri" w:hAnsi="Calibri" w:cs="Calibri"/>
                <w:color w:val="000000"/>
                <w:kern w:val="0"/>
              </w:rPr>
              <w:t>6 pkt –projekt spełnia dwa ze wskazanych warunków,</w:t>
            </w:r>
          </w:p>
          <w:p w14:paraId="62DF0F7D" w14:textId="77777777" w:rsidR="00413881" w:rsidRPr="00AB387C" w:rsidRDefault="00413881" w:rsidP="004138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2D294A6E" w14:textId="23949E03" w:rsidR="00413881" w:rsidRPr="00AB387C" w:rsidRDefault="00413881" w:rsidP="004138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AB387C">
              <w:rPr>
                <w:rFonts w:ascii="Calibri" w:hAnsi="Calibri" w:cs="Calibri"/>
                <w:color w:val="000000"/>
                <w:kern w:val="0"/>
              </w:rPr>
              <w:t xml:space="preserve">3 pkt –projekt spełnia jeden ze wskazanych warunków. </w:t>
            </w:r>
          </w:p>
          <w:p w14:paraId="053A5AF5" w14:textId="0CCAB855" w:rsidR="00AB5F79" w:rsidRPr="00AB387C" w:rsidRDefault="000F31C6" w:rsidP="00B106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AB387C">
              <w:rPr>
                <w:rFonts w:ascii="Calibri" w:hAnsi="Calibri" w:cs="Calibri"/>
                <w:color w:val="000000"/>
                <w:kern w:val="0"/>
              </w:rPr>
              <w:t xml:space="preserve">0 pkt – jeśli projekt nie spełnia żadnego ze wskazanych warunków.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2B8B" w14:textId="3E2DB07B" w:rsidR="0051260C" w:rsidRPr="00AB387C" w:rsidRDefault="000F31C6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444" w:type="pct"/>
          </w:tcPr>
          <w:p w14:paraId="2953325D" w14:textId="4AF2B0B0" w:rsidR="0051260C" w:rsidRPr="00AB387C" w:rsidRDefault="00AB387C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TAK</w:t>
            </w:r>
          </w:p>
        </w:tc>
      </w:tr>
      <w:tr w:rsidR="00964549" w:rsidRPr="00AB387C" w14:paraId="4936D547" w14:textId="77777777" w:rsidTr="00B10672">
        <w:trPr>
          <w:trHeight w:val="283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EFC3" w14:textId="0BDCBE87" w:rsidR="00964549" w:rsidRPr="00AB387C" w:rsidRDefault="00BE6A2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BE0B" w14:textId="77777777" w:rsidR="009776CE" w:rsidRPr="00AB387C" w:rsidRDefault="009776CE" w:rsidP="009776CE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pl-PL"/>
              </w:rPr>
            </w:pPr>
            <w:r w:rsidRPr="00AB387C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 xml:space="preserve">Priorytetowe kierunki badań w ramach inteligentnej specjalizacji </w:t>
            </w:r>
          </w:p>
          <w:p w14:paraId="71B1B69B" w14:textId="77777777" w:rsidR="00964549" w:rsidRPr="00AB387C" w:rsidRDefault="00964549" w:rsidP="00C02F45">
            <w:pPr>
              <w:spacing w:before="240"/>
              <w:rPr>
                <w:rFonts w:ascii="Calibri" w:hAnsi="Calibri" w:cs="Calibri"/>
              </w:rPr>
            </w:pPr>
          </w:p>
          <w:p w14:paraId="18CE76B8" w14:textId="77777777" w:rsidR="009776CE" w:rsidRPr="00AB387C" w:rsidRDefault="009776CE" w:rsidP="00C02F45">
            <w:pPr>
              <w:spacing w:before="240"/>
              <w:rPr>
                <w:rFonts w:ascii="Calibri" w:hAnsi="Calibri" w:cs="Calibri"/>
              </w:rPr>
            </w:pPr>
          </w:p>
          <w:p w14:paraId="0188E276" w14:textId="77777777" w:rsidR="009776CE" w:rsidRPr="00AB387C" w:rsidRDefault="009776CE" w:rsidP="00C02F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7B71" w14:textId="21C78C9B" w:rsidR="00964549" w:rsidRPr="00AB387C" w:rsidRDefault="005D78C8" w:rsidP="00C02F45">
            <w:pPr>
              <w:pStyle w:val="pf0"/>
              <w:spacing w:before="240" w:beforeAutospacing="0" w:after="240" w:afterAutospacing="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t xml:space="preserve">Zakres projektu </w:t>
            </w:r>
            <w:r w:rsidR="00C217CF" w:rsidRPr="00AB387C">
              <w:rPr>
                <w:rFonts w:ascii="Calibri" w:hAnsi="Calibri" w:cs="Calibri"/>
                <w:sz w:val="22"/>
                <w:szCs w:val="22"/>
              </w:rPr>
              <w:t>odnosi się do</w:t>
            </w:r>
            <w:r w:rsidR="009776CE" w:rsidRPr="00AB387C">
              <w:rPr>
                <w:rFonts w:ascii="Calibri" w:hAnsi="Calibri" w:cs="Calibri"/>
                <w:sz w:val="22"/>
                <w:szCs w:val="22"/>
              </w:rPr>
              <w:t xml:space="preserve"> priorytetowych kierunków badań w ramach inteligentnej specjalizacji województwa mazowieckiego.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B2A7" w14:textId="23C04FF6" w:rsidR="009776CE" w:rsidRPr="00AB387C" w:rsidRDefault="005D78C8" w:rsidP="009776CE">
            <w:pPr>
              <w:pStyle w:val="Default"/>
              <w:rPr>
                <w:sz w:val="22"/>
                <w:szCs w:val="22"/>
              </w:rPr>
            </w:pPr>
            <w:r w:rsidRPr="00AB387C">
              <w:rPr>
                <w:color w:val="000009"/>
                <w:sz w:val="22"/>
                <w:szCs w:val="22"/>
              </w:rPr>
              <w:t>Zakres projektu</w:t>
            </w:r>
            <w:r w:rsidR="009776CE" w:rsidRPr="00AB387C">
              <w:rPr>
                <w:color w:val="000009"/>
                <w:sz w:val="22"/>
                <w:szCs w:val="22"/>
              </w:rPr>
              <w:t xml:space="preserve"> </w:t>
            </w:r>
            <w:r w:rsidR="00C217CF" w:rsidRPr="00AB387C">
              <w:rPr>
                <w:color w:val="000009"/>
                <w:sz w:val="22"/>
                <w:szCs w:val="22"/>
              </w:rPr>
              <w:t>odnosi się do:</w:t>
            </w:r>
            <w:r w:rsidR="009776CE" w:rsidRPr="00AB387C">
              <w:rPr>
                <w:color w:val="000009"/>
                <w:sz w:val="22"/>
                <w:szCs w:val="22"/>
              </w:rPr>
              <w:t xml:space="preserve"> </w:t>
            </w:r>
          </w:p>
          <w:p w14:paraId="182FACAD" w14:textId="02D71D5D" w:rsidR="009776CE" w:rsidRPr="00AB387C" w:rsidRDefault="009776CE" w:rsidP="009776CE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AB387C">
              <w:rPr>
                <w:color w:val="000009"/>
                <w:sz w:val="22"/>
                <w:szCs w:val="22"/>
              </w:rPr>
              <w:t>minimum dwóch priorytetowych kierunków badań – 3 pkt</w:t>
            </w:r>
            <w:r w:rsidR="00C217CF" w:rsidRPr="00AB387C">
              <w:rPr>
                <w:color w:val="000009"/>
                <w:sz w:val="22"/>
                <w:szCs w:val="22"/>
              </w:rPr>
              <w:t>;</w:t>
            </w:r>
            <w:r w:rsidRPr="00AB387C">
              <w:rPr>
                <w:color w:val="000009"/>
                <w:sz w:val="22"/>
                <w:szCs w:val="22"/>
              </w:rPr>
              <w:t xml:space="preserve"> </w:t>
            </w:r>
          </w:p>
          <w:p w14:paraId="780033FF" w14:textId="6865542A" w:rsidR="009776CE" w:rsidRPr="00AB387C" w:rsidRDefault="009776CE" w:rsidP="009776CE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AB387C">
              <w:rPr>
                <w:color w:val="000009"/>
                <w:sz w:val="22"/>
                <w:szCs w:val="22"/>
              </w:rPr>
              <w:t>minimum jednego priorytetowego kierunku badań – 2 pkt</w:t>
            </w:r>
            <w:r w:rsidR="00C217CF" w:rsidRPr="00AB387C">
              <w:rPr>
                <w:color w:val="000009"/>
                <w:sz w:val="22"/>
                <w:szCs w:val="22"/>
              </w:rPr>
              <w:t>.</w:t>
            </w:r>
          </w:p>
          <w:p w14:paraId="3AD7C4F5" w14:textId="77777777" w:rsidR="009776CE" w:rsidRPr="00AB387C" w:rsidRDefault="009776CE" w:rsidP="009776CE">
            <w:pPr>
              <w:pStyle w:val="Default"/>
              <w:rPr>
                <w:sz w:val="22"/>
                <w:szCs w:val="22"/>
              </w:rPr>
            </w:pPr>
          </w:p>
          <w:p w14:paraId="02ABC6A5" w14:textId="77777777" w:rsidR="009776CE" w:rsidRPr="00AB387C" w:rsidRDefault="009776CE" w:rsidP="009776CE">
            <w:pPr>
              <w:pStyle w:val="Default"/>
              <w:rPr>
                <w:sz w:val="22"/>
                <w:szCs w:val="22"/>
              </w:rPr>
            </w:pPr>
            <w:r w:rsidRPr="00AB387C">
              <w:rPr>
                <w:color w:val="000009"/>
                <w:sz w:val="22"/>
                <w:szCs w:val="22"/>
              </w:rPr>
              <w:t xml:space="preserve">Brak spełnienia kryterium lub brak informacji w tym zakresie – 0 pkt. </w:t>
            </w:r>
          </w:p>
          <w:p w14:paraId="58E08F31" w14:textId="42806FB0" w:rsidR="00964549" w:rsidRPr="00AB387C" w:rsidDel="00C02F45" w:rsidRDefault="009776CE" w:rsidP="009776CE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 xml:space="preserve">Punkty w ramach kryterium nie sumują się.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3AD2" w14:textId="522481E1" w:rsidR="00964549" w:rsidRPr="00AB387C" w:rsidDel="00C02F45" w:rsidRDefault="009776CE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3</w:t>
            </w:r>
          </w:p>
        </w:tc>
        <w:tc>
          <w:tcPr>
            <w:tcW w:w="444" w:type="pct"/>
          </w:tcPr>
          <w:p w14:paraId="36F752F8" w14:textId="45B2F48C" w:rsidR="00964549" w:rsidRPr="00AB387C" w:rsidRDefault="009776CE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NIE</w:t>
            </w:r>
          </w:p>
        </w:tc>
      </w:tr>
      <w:tr w:rsidR="009776CE" w:rsidRPr="00AB387C" w14:paraId="0858CC78" w14:textId="77777777" w:rsidTr="00B10672">
        <w:trPr>
          <w:trHeight w:val="283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7BA1" w14:textId="6597BD41" w:rsidR="009776CE" w:rsidRPr="00AB387C" w:rsidRDefault="00BE6A2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9837" w14:textId="77777777" w:rsidR="009776CE" w:rsidRPr="00AB387C" w:rsidRDefault="009776CE" w:rsidP="009776CE">
            <w:pPr>
              <w:pStyle w:val="Default"/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Uzasadnienie potrzeby realizacji projektu, w tym ocena założeń Studium wykonalności </w:t>
            </w:r>
          </w:p>
          <w:p w14:paraId="56B3C832" w14:textId="77777777" w:rsidR="009776CE" w:rsidRPr="00AB387C" w:rsidRDefault="009776CE" w:rsidP="009776CE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9204" w14:textId="57E7B1EA" w:rsidR="009776CE" w:rsidRPr="00AB387C" w:rsidRDefault="009776CE" w:rsidP="009776CE">
            <w:pPr>
              <w:pStyle w:val="pf0"/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t xml:space="preserve">Planowany zakres rzeczowy (infrastruktura i zakup sprzętu) jest niezbędny do kompleksowej realizacji </w:t>
            </w:r>
            <w:r w:rsidR="00C217CF" w:rsidRPr="00AB387C">
              <w:rPr>
                <w:rFonts w:ascii="Calibri" w:hAnsi="Calibri" w:cs="Calibri"/>
                <w:sz w:val="22"/>
                <w:szCs w:val="22"/>
              </w:rPr>
              <w:t>projektu</w:t>
            </w:r>
            <w:r w:rsidRPr="00AB387C">
              <w:rPr>
                <w:rFonts w:ascii="Calibri" w:hAnsi="Calibri" w:cs="Calibri"/>
                <w:sz w:val="22"/>
                <w:szCs w:val="22"/>
              </w:rPr>
              <w:t>. Z przeprowadzonej analizy powinno wynikać, że wnioskodawca nie posiada lub posiada w ograniczonym stopniu zasoby infrastrukturalne umożliwiające realizację</w:t>
            </w:r>
            <w:r w:rsidR="00C217CF" w:rsidRPr="00AB387C">
              <w:rPr>
                <w:rFonts w:ascii="Calibri" w:hAnsi="Calibri" w:cs="Calibri"/>
                <w:sz w:val="22"/>
                <w:szCs w:val="22"/>
              </w:rPr>
              <w:t xml:space="preserve"> zaplanowanego przedsięwzięcia</w:t>
            </w:r>
            <w:r w:rsidRPr="00AB387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BAA987D" w14:textId="4936A558" w:rsidR="009776CE" w:rsidRPr="00AB387C" w:rsidRDefault="009776CE" w:rsidP="009776CE">
            <w:pPr>
              <w:pStyle w:val="pf0"/>
              <w:spacing w:before="240" w:after="240"/>
              <w:rPr>
                <w:rFonts w:ascii="Calibri" w:hAnsi="Calibri" w:cs="Calibri"/>
                <w:sz w:val="22"/>
                <w:szCs w:val="22"/>
              </w:rPr>
            </w:pPr>
            <w:r w:rsidRPr="00AB387C">
              <w:rPr>
                <w:rFonts w:ascii="Calibri" w:hAnsi="Calibri" w:cs="Calibri"/>
                <w:sz w:val="22"/>
                <w:szCs w:val="22"/>
              </w:rPr>
              <w:t>W ramach kryterium ocenie podlegać będą założenia Studium wykonalności</w:t>
            </w:r>
            <w:r w:rsidR="00C217CF" w:rsidRPr="00AB387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A1417FB" w14:textId="4B5228C4" w:rsidR="009776CE" w:rsidRPr="00AB387C" w:rsidRDefault="009776CE" w:rsidP="009776CE">
            <w:pPr>
              <w:pStyle w:val="pf0"/>
              <w:spacing w:before="240" w:beforeAutospacing="0" w:after="24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E2F2" w14:textId="77777777" w:rsidR="009776CE" w:rsidRPr="00AB387C" w:rsidRDefault="009776CE" w:rsidP="009776CE">
            <w:pPr>
              <w:pStyle w:val="Default"/>
              <w:rPr>
                <w:color w:val="000009"/>
                <w:sz w:val="22"/>
                <w:szCs w:val="22"/>
              </w:rPr>
            </w:pPr>
            <w:r w:rsidRPr="00AB387C">
              <w:rPr>
                <w:color w:val="000009"/>
                <w:sz w:val="22"/>
                <w:szCs w:val="22"/>
              </w:rPr>
              <w:t>Spełnienie kryterium w stopniu:</w:t>
            </w:r>
          </w:p>
          <w:p w14:paraId="1F81EA90" w14:textId="702D030A" w:rsidR="009776CE" w:rsidRPr="00AB387C" w:rsidRDefault="009776CE" w:rsidP="009776CE">
            <w:pPr>
              <w:pStyle w:val="Default"/>
              <w:rPr>
                <w:color w:val="000009"/>
                <w:sz w:val="22"/>
                <w:szCs w:val="22"/>
              </w:rPr>
            </w:pPr>
            <w:r w:rsidRPr="00AB387C">
              <w:rPr>
                <w:color w:val="000009"/>
                <w:sz w:val="22"/>
                <w:szCs w:val="22"/>
              </w:rPr>
              <w:t>• Bardzo dobrym – 10 pkt;</w:t>
            </w:r>
          </w:p>
          <w:p w14:paraId="4AE890AC" w14:textId="5C692FFA" w:rsidR="009776CE" w:rsidRPr="00AB387C" w:rsidRDefault="009776CE" w:rsidP="009776CE">
            <w:pPr>
              <w:pStyle w:val="Default"/>
              <w:rPr>
                <w:color w:val="000009"/>
                <w:sz w:val="22"/>
                <w:szCs w:val="22"/>
              </w:rPr>
            </w:pPr>
            <w:r w:rsidRPr="00AB387C">
              <w:rPr>
                <w:color w:val="000009"/>
                <w:sz w:val="22"/>
                <w:szCs w:val="22"/>
              </w:rPr>
              <w:t>• Dobrym –5 pkt;</w:t>
            </w:r>
          </w:p>
          <w:p w14:paraId="7FE8CEA6" w14:textId="570304DA" w:rsidR="009776CE" w:rsidRPr="00AB387C" w:rsidRDefault="009776CE" w:rsidP="009776CE">
            <w:pPr>
              <w:pStyle w:val="Default"/>
              <w:rPr>
                <w:color w:val="000009"/>
                <w:sz w:val="22"/>
                <w:szCs w:val="22"/>
              </w:rPr>
            </w:pPr>
            <w:r w:rsidRPr="00AB387C">
              <w:rPr>
                <w:color w:val="000009"/>
                <w:sz w:val="22"/>
                <w:szCs w:val="22"/>
              </w:rPr>
              <w:t>Brak spełnienia kryterium lub brak informacji w tym zakresie - 0 pkt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A7AC" w14:textId="1CF63221" w:rsidR="009776CE" w:rsidRPr="00AB387C" w:rsidRDefault="009F37AB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10</w:t>
            </w:r>
          </w:p>
        </w:tc>
        <w:tc>
          <w:tcPr>
            <w:tcW w:w="444" w:type="pct"/>
          </w:tcPr>
          <w:p w14:paraId="14C94495" w14:textId="5B713E61" w:rsidR="009776CE" w:rsidRPr="00AB387C" w:rsidRDefault="00AB387C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TAK</w:t>
            </w:r>
          </w:p>
        </w:tc>
      </w:tr>
      <w:tr w:rsidR="009776CE" w:rsidRPr="00AB387C" w14:paraId="046361D3" w14:textId="77777777" w:rsidTr="00B10672">
        <w:trPr>
          <w:trHeight w:val="283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BDE2" w14:textId="1BB294F8" w:rsidR="009776CE" w:rsidRPr="00AB387C" w:rsidRDefault="00BE6A23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AE7E" w14:textId="77777777" w:rsidR="009776CE" w:rsidRPr="00AB387C" w:rsidRDefault="009776CE" w:rsidP="009776CE">
            <w:pPr>
              <w:pStyle w:val="Default"/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Współpraca o </w:t>
            </w:r>
          </w:p>
          <w:p w14:paraId="518959F9" w14:textId="0B4DBA10" w:rsidR="009776CE" w:rsidRPr="00AB387C" w:rsidRDefault="00EF7902" w:rsidP="009776CE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pl-PL"/>
              </w:rPr>
            </w:pPr>
            <w:r w:rsidRPr="00AB387C">
              <w:rPr>
                <w:sz w:val="22"/>
                <w:szCs w:val="22"/>
              </w:rPr>
              <w:t>zasięgu międzyregionalnym lub międzynarodowym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2D07" w14:textId="77777777" w:rsidR="00EF7902" w:rsidRPr="00AB387C" w:rsidRDefault="00EF7902" w:rsidP="00EF7902">
            <w:pPr>
              <w:pStyle w:val="Default"/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Kryterium promuje projekty realizowane przez </w:t>
            </w:r>
          </w:p>
          <w:p w14:paraId="635F6808" w14:textId="77777777" w:rsidR="00EF7902" w:rsidRPr="00AB387C" w:rsidRDefault="00EF7902" w:rsidP="00EF7902">
            <w:pPr>
              <w:pStyle w:val="Default"/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wnioskodawców uczestniczących lub zaangażowanych we współpracę międzyregionalnej (w ramach programu </w:t>
            </w:r>
            <w:proofErr w:type="spellStart"/>
            <w:r w:rsidRPr="00AB387C">
              <w:rPr>
                <w:sz w:val="22"/>
                <w:szCs w:val="22"/>
              </w:rPr>
              <w:t>Interreg</w:t>
            </w:r>
            <w:proofErr w:type="spellEnd"/>
            <w:r w:rsidRPr="00AB387C">
              <w:rPr>
                <w:sz w:val="22"/>
                <w:szCs w:val="22"/>
              </w:rPr>
              <w:t xml:space="preserve"> Europa) lub w ramach programów transgranicznych (</w:t>
            </w:r>
            <w:proofErr w:type="spellStart"/>
            <w:r w:rsidRPr="00AB387C">
              <w:rPr>
                <w:sz w:val="22"/>
                <w:szCs w:val="22"/>
              </w:rPr>
              <w:t>Interreg</w:t>
            </w:r>
            <w:proofErr w:type="spellEnd"/>
            <w:r w:rsidRPr="00AB387C">
              <w:rPr>
                <w:sz w:val="22"/>
                <w:szCs w:val="22"/>
              </w:rPr>
              <w:t xml:space="preserve"> Polska-Słowacja, </w:t>
            </w:r>
            <w:proofErr w:type="spellStart"/>
            <w:r w:rsidRPr="00AB387C">
              <w:rPr>
                <w:sz w:val="22"/>
                <w:szCs w:val="22"/>
              </w:rPr>
              <w:t>Interreg</w:t>
            </w:r>
            <w:proofErr w:type="spellEnd"/>
            <w:r w:rsidRPr="00AB387C">
              <w:rPr>
                <w:sz w:val="22"/>
                <w:szCs w:val="22"/>
              </w:rPr>
              <w:t xml:space="preserve"> Republika Czeska – Polska, </w:t>
            </w:r>
            <w:proofErr w:type="spellStart"/>
            <w:r w:rsidRPr="00AB387C">
              <w:rPr>
                <w:sz w:val="22"/>
                <w:szCs w:val="22"/>
              </w:rPr>
              <w:t>Interreg</w:t>
            </w:r>
            <w:proofErr w:type="spellEnd"/>
            <w:r w:rsidRPr="00AB387C">
              <w:rPr>
                <w:sz w:val="22"/>
                <w:szCs w:val="22"/>
              </w:rPr>
              <w:t xml:space="preserve"> Polska – Saksonia, </w:t>
            </w:r>
            <w:proofErr w:type="spellStart"/>
            <w:r w:rsidRPr="00AB387C">
              <w:rPr>
                <w:sz w:val="22"/>
                <w:szCs w:val="22"/>
              </w:rPr>
              <w:t>Interreg</w:t>
            </w:r>
            <w:proofErr w:type="spellEnd"/>
            <w:r w:rsidRPr="00AB387C">
              <w:rPr>
                <w:sz w:val="22"/>
                <w:szCs w:val="22"/>
              </w:rPr>
              <w:t xml:space="preserve"> Brandenburgia-Polska, </w:t>
            </w:r>
            <w:proofErr w:type="spellStart"/>
            <w:r w:rsidRPr="00AB387C">
              <w:rPr>
                <w:sz w:val="22"/>
                <w:szCs w:val="22"/>
              </w:rPr>
              <w:t>Interreg</w:t>
            </w:r>
            <w:proofErr w:type="spellEnd"/>
            <w:r w:rsidRPr="00AB387C">
              <w:rPr>
                <w:sz w:val="22"/>
                <w:szCs w:val="22"/>
              </w:rPr>
              <w:t xml:space="preserve"> Południowy Bałtyk, </w:t>
            </w:r>
            <w:proofErr w:type="spellStart"/>
            <w:r w:rsidRPr="00AB387C">
              <w:rPr>
                <w:sz w:val="22"/>
                <w:szCs w:val="22"/>
              </w:rPr>
              <w:t>Interreg</w:t>
            </w:r>
            <w:proofErr w:type="spellEnd"/>
            <w:r w:rsidRPr="00AB387C">
              <w:rPr>
                <w:sz w:val="22"/>
                <w:szCs w:val="22"/>
              </w:rPr>
              <w:t xml:space="preserve"> Meklemburgia - Pomorze Przednie - Brandenburgia – Polska, Polska – Białoruś – Ukraina 2014-2020 lub </w:t>
            </w:r>
            <w:proofErr w:type="spellStart"/>
            <w:r w:rsidRPr="00AB387C">
              <w:rPr>
                <w:sz w:val="22"/>
                <w:szCs w:val="22"/>
              </w:rPr>
              <w:t>Interreg</w:t>
            </w:r>
            <w:proofErr w:type="spellEnd"/>
            <w:r w:rsidRPr="00AB387C">
              <w:rPr>
                <w:sz w:val="22"/>
                <w:szCs w:val="22"/>
              </w:rPr>
              <w:t xml:space="preserve"> Litwa – Polska) lub programów transnarodowych (</w:t>
            </w:r>
            <w:proofErr w:type="spellStart"/>
            <w:r w:rsidRPr="00AB387C">
              <w:rPr>
                <w:sz w:val="22"/>
                <w:szCs w:val="22"/>
              </w:rPr>
              <w:t>Interreg</w:t>
            </w:r>
            <w:proofErr w:type="spellEnd"/>
            <w:r w:rsidRPr="00AB387C">
              <w:rPr>
                <w:sz w:val="22"/>
                <w:szCs w:val="22"/>
              </w:rPr>
              <w:t xml:space="preserve"> Region Morza Bałtyckiego lub </w:t>
            </w:r>
            <w:proofErr w:type="spellStart"/>
            <w:r w:rsidRPr="00AB387C">
              <w:rPr>
                <w:sz w:val="22"/>
                <w:szCs w:val="22"/>
              </w:rPr>
              <w:t>Interreg</w:t>
            </w:r>
            <w:proofErr w:type="spellEnd"/>
            <w:r w:rsidRPr="00AB387C">
              <w:rPr>
                <w:sz w:val="22"/>
                <w:szCs w:val="22"/>
              </w:rPr>
              <w:t xml:space="preserve"> Europa Środkowa). </w:t>
            </w:r>
          </w:p>
          <w:p w14:paraId="1D4D7B41" w14:textId="77777777" w:rsidR="009776CE" w:rsidRPr="00AB387C" w:rsidRDefault="009776CE" w:rsidP="00C02F45">
            <w:pPr>
              <w:pStyle w:val="pf0"/>
              <w:spacing w:before="240" w:beforeAutospacing="0" w:after="24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9931" w14:textId="77777777" w:rsidR="00EF7902" w:rsidRPr="00AB387C" w:rsidRDefault="00EF7902" w:rsidP="00EF7902">
            <w:pPr>
              <w:pStyle w:val="Default"/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Projekt jest realizowany przez wnioskodawcę </w:t>
            </w:r>
          </w:p>
          <w:p w14:paraId="5A771D38" w14:textId="77777777" w:rsidR="00EF7902" w:rsidRPr="00AB387C" w:rsidRDefault="00EF7902" w:rsidP="00EF7902">
            <w:pPr>
              <w:pStyle w:val="Default"/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uczestniczącego lub zaangażowanego we współpracę o zasięgu międzyregionalnym lub międzynarodowym - 3 pkt. </w:t>
            </w:r>
          </w:p>
          <w:p w14:paraId="407E1F44" w14:textId="73877780" w:rsidR="009776CE" w:rsidRPr="00AB387C" w:rsidRDefault="00EF7902" w:rsidP="00EF7902">
            <w:pPr>
              <w:pStyle w:val="Default"/>
              <w:rPr>
                <w:color w:val="000009"/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Brak spełnienia wyżej wymienionych warunków lub brak informacji we wniosku w tym zakresie – 0 pkt.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4573" w14:textId="47B7F7FA" w:rsidR="009776CE" w:rsidRPr="00AB387C" w:rsidRDefault="009F37AB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3</w:t>
            </w:r>
          </w:p>
        </w:tc>
        <w:tc>
          <w:tcPr>
            <w:tcW w:w="444" w:type="pct"/>
          </w:tcPr>
          <w:p w14:paraId="3DAF2D23" w14:textId="22730567" w:rsidR="009776CE" w:rsidRPr="00AB387C" w:rsidRDefault="00AB387C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TAK</w:t>
            </w:r>
          </w:p>
        </w:tc>
      </w:tr>
      <w:tr w:rsidR="009776CE" w:rsidRPr="00AB387C" w14:paraId="43FAC265" w14:textId="77777777" w:rsidTr="00B10672">
        <w:trPr>
          <w:trHeight w:val="283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018" w14:textId="37717A34" w:rsidR="009776CE" w:rsidRPr="00AB387C" w:rsidRDefault="00D66796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1B55" w14:textId="3FE7AF56" w:rsidR="009776CE" w:rsidRPr="00AB387C" w:rsidRDefault="00EF7902" w:rsidP="00473914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pl-PL"/>
              </w:rPr>
            </w:pPr>
            <w:r w:rsidRPr="00AB387C">
              <w:rPr>
                <w:sz w:val="22"/>
                <w:szCs w:val="22"/>
              </w:rPr>
              <w:t>Działania ukazujące pozytywny wizerunek wsparcia z Funduszy Europejskich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6E7B" w14:textId="1CFF07F2" w:rsidR="00EF7902" w:rsidRPr="00AB387C" w:rsidRDefault="00EF7902" w:rsidP="00473914">
            <w:pPr>
              <w:pStyle w:val="Default"/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>Wnioskodawca zapewnia promocję projektu w szerszym zakresie niż minimalne wymagania wskazane w dołączonym do regulaminu wyboru projektów, wzorze umowy o dofinansowanie oraz Podręczniku wnioskodawcy i beneficjenta Funduszy Europejskich na lata 2021-2027 w zakresie informacji i promocji.</w:t>
            </w:r>
          </w:p>
          <w:p w14:paraId="1F7751B7" w14:textId="77777777" w:rsidR="009776CE" w:rsidRPr="00AB387C" w:rsidRDefault="009776CE" w:rsidP="00473914">
            <w:pPr>
              <w:pStyle w:val="pf0"/>
              <w:spacing w:before="240" w:beforeAutospacing="0" w:after="24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6D8C" w14:textId="77777777" w:rsidR="00EF7902" w:rsidRPr="00AB387C" w:rsidRDefault="00EF7902" w:rsidP="00EF7902">
            <w:pPr>
              <w:pStyle w:val="Default"/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Wnioskodawca zapewnia następujące działania informacyjno-promocyjne: </w:t>
            </w:r>
          </w:p>
          <w:p w14:paraId="42FC3CCE" w14:textId="46B88938" w:rsidR="00EF7902" w:rsidRPr="00AB387C" w:rsidRDefault="00EF7902" w:rsidP="00EF7902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utworzenie osobnej strony internetowej dedykowanej projektowi, zawierającej wszystkie informacje wymienione w Załączniku do Umowy o dofinansowanie projektu (wyciąg z zapisów Podręcznika wnioskodawcy i beneficjenta Funduszy Europejskich dla Mazowsza 2021-2027 w zakresie informacji i promocji), a która dodatkowo będzie uzupełniana na bieżąco na przykład o zdjęcia czy filmy z postępów w realizacji. Link do strony powinien być dostępny z poziomu strony głównej wnioskodawcy lub zakładki poświęconej projektowi, a także udostępniony w mediach społecznościowych – 1 pkt; </w:t>
            </w:r>
          </w:p>
          <w:p w14:paraId="61B587D2" w14:textId="77777777" w:rsidR="00EF7902" w:rsidRPr="00AB387C" w:rsidRDefault="00EF7902" w:rsidP="00EF7902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przygotowanie 2 minimum 4-stronicowych publikacji elektronicznych (np. broszury informacyjne, ulotki) dotyczących projektu oraz jego współfinansowania z funduszy europejskich. Materiały muszą być zamieszczone na stronie internetowej wnioskodawcy (jeśli posiada) oraz w mediach społecznościowych. Pierwsza publikacja musi zostać udostępniona najpóźniej 3 miesiące od rozpoczęciu realizacji projektu, natomiast druga (podsumowująca efekty) – przed złożeniem wniosku o płatność końcową – 1 pkt; </w:t>
            </w:r>
          </w:p>
          <w:p w14:paraId="0C286D17" w14:textId="52587FAD" w:rsidR="00EF7902" w:rsidRPr="00AB387C" w:rsidRDefault="00EF7902" w:rsidP="00EF7902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lastRenderedPageBreak/>
              <w:t xml:space="preserve">organizację minimum jednego spotkania informacyjnego– 1 pkt; </w:t>
            </w:r>
          </w:p>
          <w:p w14:paraId="05EDD11E" w14:textId="77777777" w:rsidR="00EF7902" w:rsidRPr="00AB387C" w:rsidRDefault="00EF7902" w:rsidP="00EF7902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przygotowanie i wysyłka cyklicznego </w:t>
            </w:r>
            <w:proofErr w:type="spellStart"/>
            <w:r w:rsidRPr="00AB387C">
              <w:rPr>
                <w:sz w:val="22"/>
                <w:szCs w:val="22"/>
              </w:rPr>
              <w:t>newslettera</w:t>
            </w:r>
            <w:proofErr w:type="spellEnd"/>
            <w:r w:rsidRPr="00AB387C">
              <w:rPr>
                <w:sz w:val="22"/>
                <w:szCs w:val="22"/>
              </w:rPr>
              <w:t xml:space="preserve"> poświęconego dofinansowanemu projektowi - 1 pkt; </w:t>
            </w:r>
          </w:p>
          <w:p w14:paraId="0F7C2380" w14:textId="77777777" w:rsidR="00EF7902" w:rsidRPr="00AB387C" w:rsidRDefault="00EF7902" w:rsidP="00EF7902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prezentacja dofinansowanego projektu na minimum 1 wydarzeniu branżowym – 1 pkt; </w:t>
            </w:r>
          </w:p>
          <w:p w14:paraId="286A9070" w14:textId="77777777" w:rsidR="00EF7902" w:rsidRPr="00AB387C" w:rsidRDefault="00EF7902" w:rsidP="00EF7902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prezentacja dofinansowanego projektu w ramach minimum 2 różnych artykułów sponsorowanych w prasie lub w popularnych portalach internetowych – 1 pkt; </w:t>
            </w:r>
          </w:p>
          <w:p w14:paraId="1527AC6A" w14:textId="4E3EAA80" w:rsidR="00EF7902" w:rsidRPr="00AB387C" w:rsidRDefault="00EF7902" w:rsidP="002F34C8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inne proponowane przez Beneficjenta oraz zadeklarowane we wniosku o dofinansowanie działanie, ukazujące pozytywny wizerunek wsparcia z Funduszy Europejskich. Uwaga, należy pamiętać, że gadżety nie są samodzielnym działaniem promocyjnym, a jedynie mogą być uzupełnieniem innych działań promocyjnych) – 1 pkt. </w:t>
            </w:r>
          </w:p>
          <w:p w14:paraId="2E0E2B3C" w14:textId="77777777" w:rsidR="00EF7902" w:rsidRPr="00AB387C" w:rsidRDefault="00EF7902" w:rsidP="00EF7902">
            <w:pPr>
              <w:pStyle w:val="Default"/>
              <w:rPr>
                <w:sz w:val="22"/>
                <w:szCs w:val="22"/>
              </w:rPr>
            </w:pPr>
          </w:p>
          <w:p w14:paraId="709D76A2" w14:textId="77777777" w:rsidR="00EF7902" w:rsidRPr="00AB387C" w:rsidRDefault="00EF7902" w:rsidP="00EF7902">
            <w:pPr>
              <w:pStyle w:val="Default"/>
              <w:rPr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Punkty w ramach kryterium sumują się, jednak do maksymalnego poziomu 3 pkt. </w:t>
            </w:r>
          </w:p>
          <w:p w14:paraId="3F86980C" w14:textId="34AA0A01" w:rsidR="009776CE" w:rsidRPr="00AB387C" w:rsidRDefault="00EF7902" w:rsidP="00EF7902">
            <w:pPr>
              <w:pStyle w:val="Default"/>
              <w:rPr>
                <w:color w:val="000009"/>
                <w:sz w:val="22"/>
                <w:szCs w:val="22"/>
              </w:rPr>
            </w:pPr>
            <w:r w:rsidRPr="00AB387C">
              <w:rPr>
                <w:sz w:val="22"/>
                <w:szCs w:val="22"/>
              </w:rPr>
              <w:t xml:space="preserve">Brak spełnienia wyżej wymienionych warunków lub brak informacji we wniosku w tym zakresie – 0 pkt.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D18A" w14:textId="6C8C4076" w:rsidR="009776CE" w:rsidRPr="00AB387C" w:rsidRDefault="00473914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444" w:type="pct"/>
          </w:tcPr>
          <w:p w14:paraId="410A520E" w14:textId="31A3050E" w:rsidR="009776CE" w:rsidRPr="00AB387C" w:rsidRDefault="00AB387C">
            <w:pPr>
              <w:spacing w:before="240"/>
              <w:rPr>
                <w:rFonts w:ascii="Calibri" w:hAnsi="Calibri" w:cs="Calibri"/>
              </w:rPr>
            </w:pPr>
            <w:r w:rsidRPr="00AB387C">
              <w:rPr>
                <w:rFonts w:ascii="Calibri" w:hAnsi="Calibri" w:cs="Calibri"/>
              </w:rPr>
              <w:t>TAK</w:t>
            </w:r>
          </w:p>
        </w:tc>
      </w:tr>
    </w:tbl>
    <w:p w14:paraId="458B029E" w14:textId="77777777" w:rsidR="00C02F45" w:rsidRPr="00AB387C" w:rsidRDefault="00C02F45" w:rsidP="00501843">
      <w:pPr>
        <w:spacing w:before="240"/>
        <w:rPr>
          <w:rFonts w:ascii="Calibri" w:hAnsi="Calibri" w:cs="Calibri"/>
        </w:rPr>
      </w:pPr>
    </w:p>
    <w:p w14:paraId="32D95C17" w14:textId="77777777" w:rsidR="002F34C8" w:rsidRPr="009B4B7B" w:rsidRDefault="002F34C8" w:rsidP="00501843">
      <w:pPr>
        <w:spacing w:before="240"/>
        <w:rPr>
          <w:rFonts w:ascii="Calibri" w:hAnsi="Calibri" w:cs="Calibri"/>
        </w:rPr>
      </w:pPr>
    </w:p>
    <w:p w14:paraId="40D78D75" w14:textId="2C0C7B36" w:rsidR="002F34C8" w:rsidRPr="00C217CF" w:rsidRDefault="001E3D7C" w:rsidP="002F34C8">
      <w:pPr>
        <w:spacing w:before="240"/>
        <w:rPr>
          <w:rFonts w:ascii="Calibri" w:hAnsi="Calibri" w:cs="Calibri"/>
          <w:b/>
          <w:bCs/>
        </w:rPr>
      </w:pPr>
      <w:r w:rsidRPr="00C217CF">
        <w:rPr>
          <w:rFonts w:ascii="Calibri" w:hAnsi="Calibri" w:cs="Calibri"/>
          <w:b/>
          <w:bCs/>
        </w:rPr>
        <w:lastRenderedPageBreak/>
        <w:t>Kryteria rozstrzygające:</w:t>
      </w:r>
    </w:p>
    <w:p w14:paraId="2E2F40A5" w14:textId="77777777" w:rsidR="0096726A" w:rsidRPr="00C217CF" w:rsidRDefault="0096726A" w:rsidP="0096726A">
      <w:pPr>
        <w:pStyle w:val="Default"/>
        <w:numPr>
          <w:ilvl w:val="0"/>
          <w:numId w:val="34"/>
        </w:numPr>
        <w:rPr>
          <w:sz w:val="22"/>
          <w:szCs w:val="22"/>
        </w:rPr>
      </w:pPr>
      <w:r w:rsidRPr="00C217CF">
        <w:rPr>
          <w:sz w:val="22"/>
          <w:szCs w:val="22"/>
        </w:rPr>
        <w:t>Zakres oddziaływania projektu</w:t>
      </w:r>
    </w:p>
    <w:p w14:paraId="74716886" w14:textId="36FDBD9E" w:rsidR="0096726A" w:rsidRPr="00C217CF" w:rsidRDefault="0096726A" w:rsidP="0096726A">
      <w:pPr>
        <w:pStyle w:val="Akapitzlist"/>
        <w:numPr>
          <w:ilvl w:val="0"/>
          <w:numId w:val="34"/>
        </w:numPr>
        <w:spacing w:before="240"/>
        <w:rPr>
          <w:rFonts w:ascii="Calibri" w:hAnsi="Calibri" w:cs="Calibri"/>
        </w:rPr>
      </w:pPr>
      <w:r w:rsidRPr="00C217CF">
        <w:rPr>
          <w:rFonts w:ascii="Calibri" w:hAnsi="Calibri" w:cs="Calibri"/>
        </w:rPr>
        <w:t>Współpraca o zasięgu międzyregionalnym lub międzynarodowym</w:t>
      </w:r>
    </w:p>
    <w:p w14:paraId="1C4EB7E8" w14:textId="77777777" w:rsidR="001E3D7C" w:rsidRDefault="001E3D7C" w:rsidP="002F34C8">
      <w:pPr>
        <w:spacing w:before="240"/>
        <w:rPr>
          <w:rFonts w:ascii="Calibri" w:hAnsi="Calibri" w:cs="Calibri"/>
        </w:rPr>
      </w:pPr>
    </w:p>
    <w:p w14:paraId="50E58123" w14:textId="77777777" w:rsidR="009B4B7B" w:rsidRDefault="009B4B7B" w:rsidP="002F34C8">
      <w:pPr>
        <w:spacing w:before="240"/>
        <w:rPr>
          <w:rFonts w:ascii="Calibri" w:hAnsi="Calibri" w:cs="Calibri"/>
        </w:rPr>
      </w:pPr>
    </w:p>
    <w:p w14:paraId="6C3BFBFD" w14:textId="77777777" w:rsidR="002F34C8" w:rsidRPr="009B4B7B" w:rsidRDefault="002F34C8" w:rsidP="002F34C8">
      <w:pPr>
        <w:spacing w:before="240"/>
        <w:rPr>
          <w:rFonts w:ascii="Calibri" w:hAnsi="Calibri" w:cs="Calibri"/>
        </w:rPr>
      </w:pPr>
    </w:p>
    <w:sectPr w:rsidR="002F34C8" w:rsidRPr="009B4B7B" w:rsidSect="00501843">
      <w:footerReference w:type="default" r:id="rId8"/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3003" w14:textId="77777777" w:rsidR="009B76B6" w:rsidRDefault="009B76B6" w:rsidP="00E64D08">
      <w:pPr>
        <w:spacing w:after="0" w:line="240" w:lineRule="auto"/>
      </w:pPr>
      <w:r>
        <w:separator/>
      </w:r>
    </w:p>
  </w:endnote>
  <w:endnote w:type="continuationSeparator" w:id="0">
    <w:p w14:paraId="5BAC7027" w14:textId="77777777" w:rsidR="009B76B6" w:rsidRDefault="009B76B6" w:rsidP="00E6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30726"/>
      <w:docPartObj>
        <w:docPartGallery w:val="Page Numbers (Bottom of Page)"/>
        <w:docPartUnique/>
      </w:docPartObj>
    </w:sdtPr>
    <w:sdtEndPr/>
    <w:sdtContent>
      <w:p w14:paraId="0C3F021B" w14:textId="3E2E0D1A" w:rsidR="00E64D08" w:rsidRDefault="00E64D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BB5D76" w14:textId="77777777" w:rsidR="00E64D08" w:rsidRDefault="00E64D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57A4" w14:textId="77777777" w:rsidR="009B76B6" w:rsidRDefault="009B76B6" w:rsidP="00E64D08">
      <w:pPr>
        <w:spacing w:after="0" w:line="240" w:lineRule="auto"/>
      </w:pPr>
      <w:r>
        <w:separator/>
      </w:r>
    </w:p>
  </w:footnote>
  <w:footnote w:type="continuationSeparator" w:id="0">
    <w:p w14:paraId="1E70CE0A" w14:textId="77777777" w:rsidR="009B76B6" w:rsidRDefault="009B76B6" w:rsidP="00E64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DFCF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47EF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569C2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F8984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84343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62A8788"/>
    <w:multiLevelType w:val="hybridMultilevel"/>
    <w:tmpl w:val="2876BE9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7BA2F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E8820B5"/>
    <w:multiLevelType w:val="hybridMultilevel"/>
    <w:tmpl w:val="7A825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80549"/>
    <w:multiLevelType w:val="hybridMultilevel"/>
    <w:tmpl w:val="52C843A8"/>
    <w:lvl w:ilvl="0" w:tplc="46349C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A58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A04542F"/>
    <w:multiLevelType w:val="hybridMultilevel"/>
    <w:tmpl w:val="CA7EC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11CCD"/>
    <w:multiLevelType w:val="hybridMultilevel"/>
    <w:tmpl w:val="E40C1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925BC"/>
    <w:multiLevelType w:val="hybridMultilevel"/>
    <w:tmpl w:val="5BD8C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7799A"/>
    <w:multiLevelType w:val="hybridMultilevel"/>
    <w:tmpl w:val="C14AD206"/>
    <w:lvl w:ilvl="0" w:tplc="47609A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70B2C"/>
    <w:multiLevelType w:val="hybridMultilevel"/>
    <w:tmpl w:val="4AE25838"/>
    <w:lvl w:ilvl="0" w:tplc="FFFFFFFF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u w:val="none"/>
        <w:effect w:val="none"/>
        <w:specVanish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191"/>
        </w:tabs>
        <w:ind w:left="1191" w:hanging="397"/>
      </w:pPr>
      <w:rPr>
        <w:b w:val="0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C323A1"/>
    <w:multiLevelType w:val="hybridMultilevel"/>
    <w:tmpl w:val="03564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83A4E"/>
    <w:multiLevelType w:val="hybridMultilevel"/>
    <w:tmpl w:val="228003DA"/>
    <w:lvl w:ilvl="0" w:tplc="0415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7" w15:restartNumberingAfterBreak="0">
    <w:nsid w:val="2F8778ED"/>
    <w:multiLevelType w:val="hybridMultilevel"/>
    <w:tmpl w:val="97BED6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30372"/>
    <w:multiLevelType w:val="hybridMultilevel"/>
    <w:tmpl w:val="DA908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F55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9326CF4"/>
    <w:multiLevelType w:val="hybridMultilevel"/>
    <w:tmpl w:val="A6C8DFEC"/>
    <w:lvl w:ilvl="0" w:tplc="FFFFFFF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96064CE"/>
    <w:multiLevelType w:val="hybridMultilevel"/>
    <w:tmpl w:val="0ED2FC00"/>
    <w:lvl w:ilvl="0" w:tplc="3EAC9D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F293B"/>
    <w:multiLevelType w:val="hybridMultilevel"/>
    <w:tmpl w:val="3F0AB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B5E64"/>
    <w:multiLevelType w:val="hybridMultilevel"/>
    <w:tmpl w:val="65667978"/>
    <w:lvl w:ilvl="0" w:tplc="3FB08E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3604B"/>
    <w:multiLevelType w:val="hybridMultilevel"/>
    <w:tmpl w:val="BF605974"/>
    <w:lvl w:ilvl="0" w:tplc="B66607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91AD6"/>
    <w:multiLevelType w:val="hybridMultilevel"/>
    <w:tmpl w:val="174E8F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A061F"/>
    <w:multiLevelType w:val="hybridMultilevel"/>
    <w:tmpl w:val="C36A33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568BD"/>
    <w:multiLevelType w:val="hybridMultilevel"/>
    <w:tmpl w:val="5592266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9BB4D35"/>
    <w:multiLevelType w:val="hybridMultilevel"/>
    <w:tmpl w:val="FD44B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B55D7"/>
    <w:multiLevelType w:val="hybridMultilevel"/>
    <w:tmpl w:val="508C68D2"/>
    <w:lvl w:ilvl="0" w:tplc="744AAB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913D8"/>
    <w:multiLevelType w:val="hybridMultilevel"/>
    <w:tmpl w:val="0AAE1E6C"/>
    <w:lvl w:ilvl="0" w:tplc="30024D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06CF9"/>
    <w:multiLevelType w:val="hybridMultilevel"/>
    <w:tmpl w:val="23F49BA0"/>
    <w:lvl w:ilvl="0" w:tplc="735629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F7BFC"/>
    <w:multiLevelType w:val="hybridMultilevel"/>
    <w:tmpl w:val="964C4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94BFE"/>
    <w:multiLevelType w:val="hybridMultilevel"/>
    <w:tmpl w:val="56E02C82"/>
    <w:lvl w:ilvl="0" w:tplc="F580DBDE">
      <w:start w:val="1"/>
      <w:numFmt w:val="decimal"/>
      <w:lvlText w:val="%1."/>
      <w:lvlJc w:val="left"/>
      <w:pPr>
        <w:ind w:left="644" w:hanging="360"/>
      </w:pPr>
      <w:rPr>
        <w:rFonts w:eastAsia="Calibri" w:cs="Times New Roman"/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5861E00"/>
    <w:multiLevelType w:val="hybridMultilevel"/>
    <w:tmpl w:val="0E5C1EF0"/>
    <w:lvl w:ilvl="0" w:tplc="A41EBCE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D460D"/>
    <w:multiLevelType w:val="hybridMultilevel"/>
    <w:tmpl w:val="5A141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42E62"/>
    <w:multiLevelType w:val="hybridMultilevel"/>
    <w:tmpl w:val="EE34DD88"/>
    <w:lvl w:ilvl="0" w:tplc="4E14BA9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518DA"/>
    <w:multiLevelType w:val="hybridMultilevel"/>
    <w:tmpl w:val="18D65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828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7774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2646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6329332">
    <w:abstractNumId w:val="27"/>
  </w:num>
  <w:num w:numId="5" w16cid:durableId="13701815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63766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033144">
    <w:abstractNumId w:val="29"/>
  </w:num>
  <w:num w:numId="8" w16cid:durableId="1793405698">
    <w:abstractNumId w:val="8"/>
  </w:num>
  <w:num w:numId="9" w16cid:durableId="478501361">
    <w:abstractNumId w:val="12"/>
  </w:num>
  <w:num w:numId="10" w16cid:durableId="1960338690">
    <w:abstractNumId w:val="17"/>
  </w:num>
  <w:num w:numId="11" w16cid:durableId="1633056064">
    <w:abstractNumId w:val="10"/>
  </w:num>
  <w:num w:numId="12" w16cid:durableId="1059595190">
    <w:abstractNumId w:val="14"/>
  </w:num>
  <w:num w:numId="13" w16cid:durableId="1468626104">
    <w:abstractNumId w:val="7"/>
  </w:num>
  <w:num w:numId="14" w16cid:durableId="2032758299">
    <w:abstractNumId w:val="32"/>
  </w:num>
  <w:num w:numId="15" w16cid:durableId="1708330255">
    <w:abstractNumId w:val="22"/>
  </w:num>
  <w:num w:numId="16" w16cid:durableId="1380788407">
    <w:abstractNumId w:val="16"/>
  </w:num>
  <w:num w:numId="17" w16cid:durableId="1259412612">
    <w:abstractNumId w:val="4"/>
  </w:num>
  <w:num w:numId="18" w16cid:durableId="619844573">
    <w:abstractNumId w:val="3"/>
  </w:num>
  <w:num w:numId="19" w16cid:durableId="2091655994">
    <w:abstractNumId w:val="0"/>
  </w:num>
  <w:num w:numId="20" w16cid:durableId="2111314987">
    <w:abstractNumId w:val="19"/>
  </w:num>
  <w:num w:numId="21" w16cid:durableId="159856549">
    <w:abstractNumId w:val="37"/>
  </w:num>
  <w:num w:numId="22" w16cid:durableId="633096893">
    <w:abstractNumId w:val="6"/>
  </w:num>
  <w:num w:numId="23" w16cid:durableId="2057965183">
    <w:abstractNumId w:val="9"/>
  </w:num>
  <w:num w:numId="24" w16cid:durableId="1569147694">
    <w:abstractNumId w:val="2"/>
  </w:num>
  <w:num w:numId="25" w16cid:durableId="313918326">
    <w:abstractNumId w:val="1"/>
  </w:num>
  <w:num w:numId="26" w16cid:durableId="1688210085">
    <w:abstractNumId w:val="15"/>
  </w:num>
  <w:num w:numId="27" w16cid:durableId="1378163637">
    <w:abstractNumId w:val="5"/>
  </w:num>
  <w:num w:numId="28" w16cid:durableId="574632578">
    <w:abstractNumId w:val="20"/>
  </w:num>
  <w:num w:numId="29" w16cid:durableId="1988125482">
    <w:abstractNumId w:val="30"/>
  </w:num>
  <w:num w:numId="30" w16cid:durableId="1193960371">
    <w:abstractNumId w:val="13"/>
  </w:num>
  <w:num w:numId="31" w16cid:durableId="150683570">
    <w:abstractNumId w:val="24"/>
  </w:num>
  <w:num w:numId="32" w16cid:durableId="554200125">
    <w:abstractNumId w:val="31"/>
  </w:num>
  <w:num w:numId="33" w16cid:durableId="1584218216">
    <w:abstractNumId w:val="25"/>
  </w:num>
  <w:num w:numId="34" w16cid:durableId="1783917708">
    <w:abstractNumId w:val="28"/>
  </w:num>
  <w:num w:numId="35" w16cid:durableId="1614314966">
    <w:abstractNumId w:val="26"/>
  </w:num>
  <w:num w:numId="36" w16cid:durableId="294801610">
    <w:abstractNumId w:val="36"/>
  </w:num>
  <w:num w:numId="37" w16cid:durableId="1967544206">
    <w:abstractNumId w:val="23"/>
  </w:num>
  <w:num w:numId="38" w16cid:durableId="296686111">
    <w:abstractNumId w:val="34"/>
  </w:num>
  <w:num w:numId="39" w16cid:durableId="3184640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78"/>
    <w:rsid w:val="00024CE7"/>
    <w:rsid w:val="00025AC5"/>
    <w:rsid w:val="00043C1E"/>
    <w:rsid w:val="00075914"/>
    <w:rsid w:val="00083FA2"/>
    <w:rsid w:val="000A0199"/>
    <w:rsid w:val="000C2178"/>
    <w:rsid w:val="000D5A47"/>
    <w:rsid w:val="000E0591"/>
    <w:rsid w:val="000E3CB4"/>
    <w:rsid w:val="000F31C6"/>
    <w:rsid w:val="00102485"/>
    <w:rsid w:val="00106135"/>
    <w:rsid w:val="001356D2"/>
    <w:rsid w:val="0014527D"/>
    <w:rsid w:val="00160D05"/>
    <w:rsid w:val="0017310B"/>
    <w:rsid w:val="00177CB1"/>
    <w:rsid w:val="00186F92"/>
    <w:rsid w:val="001B36DB"/>
    <w:rsid w:val="001C7FDD"/>
    <w:rsid w:val="001E3D7C"/>
    <w:rsid w:val="001E79ED"/>
    <w:rsid w:val="00206A79"/>
    <w:rsid w:val="002126F5"/>
    <w:rsid w:val="002166DF"/>
    <w:rsid w:val="002203A7"/>
    <w:rsid w:val="00236941"/>
    <w:rsid w:val="00246A23"/>
    <w:rsid w:val="00262D27"/>
    <w:rsid w:val="00274295"/>
    <w:rsid w:val="00280758"/>
    <w:rsid w:val="002828DA"/>
    <w:rsid w:val="0028607A"/>
    <w:rsid w:val="002A7E63"/>
    <w:rsid w:val="002B48F1"/>
    <w:rsid w:val="002C3006"/>
    <w:rsid w:val="002C3177"/>
    <w:rsid w:val="002C420D"/>
    <w:rsid w:val="002C4798"/>
    <w:rsid w:val="002D73DC"/>
    <w:rsid w:val="002F197F"/>
    <w:rsid w:val="002F34C8"/>
    <w:rsid w:val="002F750B"/>
    <w:rsid w:val="00304E86"/>
    <w:rsid w:val="00305E14"/>
    <w:rsid w:val="00306200"/>
    <w:rsid w:val="00310BE8"/>
    <w:rsid w:val="003321A0"/>
    <w:rsid w:val="00332DD2"/>
    <w:rsid w:val="00336FE0"/>
    <w:rsid w:val="0034036C"/>
    <w:rsid w:val="003505E5"/>
    <w:rsid w:val="00353C0A"/>
    <w:rsid w:val="00355EBC"/>
    <w:rsid w:val="00363C70"/>
    <w:rsid w:val="00365279"/>
    <w:rsid w:val="00380678"/>
    <w:rsid w:val="00397DAD"/>
    <w:rsid w:val="003A7DC5"/>
    <w:rsid w:val="003B61BB"/>
    <w:rsid w:val="003D4A08"/>
    <w:rsid w:val="003E0A59"/>
    <w:rsid w:val="00401894"/>
    <w:rsid w:val="004054FC"/>
    <w:rsid w:val="004074E5"/>
    <w:rsid w:val="00413881"/>
    <w:rsid w:val="00430F90"/>
    <w:rsid w:val="0043149F"/>
    <w:rsid w:val="00431F74"/>
    <w:rsid w:val="00454F5E"/>
    <w:rsid w:val="00456119"/>
    <w:rsid w:val="004579F0"/>
    <w:rsid w:val="00473914"/>
    <w:rsid w:val="00483424"/>
    <w:rsid w:val="00484B77"/>
    <w:rsid w:val="00484F11"/>
    <w:rsid w:val="00485B31"/>
    <w:rsid w:val="00491ED6"/>
    <w:rsid w:val="00496CD7"/>
    <w:rsid w:val="004A38DC"/>
    <w:rsid w:val="004A6125"/>
    <w:rsid w:val="004E251A"/>
    <w:rsid w:val="004F7395"/>
    <w:rsid w:val="00501843"/>
    <w:rsid w:val="0051247C"/>
    <w:rsid w:val="0051260C"/>
    <w:rsid w:val="00534D38"/>
    <w:rsid w:val="0054440B"/>
    <w:rsid w:val="0054516F"/>
    <w:rsid w:val="00546FCC"/>
    <w:rsid w:val="00556932"/>
    <w:rsid w:val="0055792A"/>
    <w:rsid w:val="0059757C"/>
    <w:rsid w:val="005A0BD1"/>
    <w:rsid w:val="005A5CD3"/>
    <w:rsid w:val="005D1909"/>
    <w:rsid w:val="005D78C8"/>
    <w:rsid w:val="005F1879"/>
    <w:rsid w:val="0060485D"/>
    <w:rsid w:val="006072EE"/>
    <w:rsid w:val="00630B40"/>
    <w:rsid w:val="00635B1E"/>
    <w:rsid w:val="0064084C"/>
    <w:rsid w:val="00640E21"/>
    <w:rsid w:val="006443CB"/>
    <w:rsid w:val="00647A4C"/>
    <w:rsid w:val="006663FA"/>
    <w:rsid w:val="0068694A"/>
    <w:rsid w:val="006A2367"/>
    <w:rsid w:val="006A7A36"/>
    <w:rsid w:val="006B18A8"/>
    <w:rsid w:val="006C3CB3"/>
    <w:rsid w:val="006C5EEC"/>
    <w:rsid w:val="006D199E"/>
    <w:rsid w:val="006E0B81"/>
    <w:rsid w:val="006E1E87"/>
    <w:rsid w:val="006E4F1F"/>
    <w:rsid w:val="006E581A"/>
    <w:rsid w:val="00714458"/>
    <w:rsid w:val="0073569B"/>
    <w:rsid w:val="00746548"/>
    <w:rsid w:val="00747976"/>
    <w:rsid w:val="0077150C"/>
    <w:rsid w:val="00795392"/>
    <w:rsid w:val="007F01A3"/>
    <w:rsid w:val="007F2534"/>
    <w:rsid w:val="007F7677"/>
    <w:rsid w:val="00802F29"/>
    <w:rsid w:val="00811924"/>
    <w:rsid w:val="00822CA7"/>
    <w:rsid w:val="0083435C"/>
    <w:rsid w:val="008358EF"/>
    <w:rsid w:val="00860C37"/>
    <w:rsid w:val="008634AA"/>
    <w:rsid w:val="00863720"/>
    <w:rsid w:val="008652B7"/>
    <w:rsid w:val="008712C0"/>
    <w:rsid w:val="00890BDF"/>
    <w:rsid w:val="008A5150"/>
    <w:rsid w:val="008B42B7"/>
    <w:rsid w:val="008C135A"/>
    <w:rsid w:val="008D0A26"/>
    <w:rsid w:val="008D5157"/>
    <w:rsid w:val="008E629D"/>
    <w:rsid w:val="0091411D"/>
    <w:rsid w:val="00914E1B"/>
    <w:rsid w:val="00923F4A"/>
    <w:rsid w:val="00927314"/>
    <w:rsid w:val="00930673"/>
    <w:rsid w:val="009360CF"/>
    <w:rsid w:val="00940303"/>
    <w:rsid w:val="0094720A"/>
    <w:rsid w:val="00964549"/>
    <w:rsid w:val="0096726A"/>
    <w:rsid w:val="0097087E"/>
    <w:rsid w:val="00971C0A"/>
    <w:rsid w:val="0097354C"/>
    <w:rsid w:val="00974C62"/>
    <w:rsid w:val="009776CE"/>
    <w:rsid w:val="00980E67"/>
    <w:rsid w:val="009B0FCE"/>
    <w:rsid w:val="009B3FC2"/>
    <w:rsid w:val="009B4B7B"/>
    <w:rsid w:val="009B5093"/>
    <w:rsid w:val="009B5CDF"/>
    <w:rsid w:val="009B76B6"/>
    <w:rsid w:val="009C2200"/>
    <w:rsid w:val="009E7F82"/>
    <w:rsid w:val="009F37AB"/>
    <w:rsid w:val="009F6A06"/>
    <w:rsid w:val="009F6D72"/>
    <w:rsid w:val="00A04A2E"/>
    <w:rsid w:val="00A12EBA"/>
    <w:rsid w:val="00A217CA"/>
    <w:rsid w:val="00A261BE"/>
    <w:rsid w:val="00A42235"/>
    <w:rsid w:val="00A50BDA"/>
    <w:rsid w:val="00A5251B"/>
    <w:rsid w:val="00A61150"/>
    <w:rsid w:val="00A639C2"/>
    <w:rsid w:val="00AB387C"/>
    <w:rsid w:val="00AB5F79"/>
    <w:rsid w:val="00AC28E5"/>
    <w:rsid w:val="00AE09FF"/>
    <w:rsid w:val="00AE7F31"/>
    <w:rsid w:val="00AF55C5"/>
    <w:rsid w:val="00AF7D3D"/>
    <w:rsid w:val="00B10672"/>
    <w:rsid w:val="00B201A9"/>
    <w:rsid w:val="00B262F6"/>
    <w:rsid w:val="00B305CF"/>
    <w:rsid w:val="00B509C8"/>
    <w:rsid w:val="00BA0376"/>
    <w:rsid w:val="00BA4B8B"/>
    <w:rsid w:val="00BB5287"/>
    <w:rsid w:val="00BD2F7E"/>
    <w:rsid w:val="00BE0AB8"/>
    <w:rsid w:val="00BE587D"/>
    <w:rsid w:val="00BE6A23"/>
    <w:rsid w:val="00BF0EAF"/>
    <w:rsid w:val="00BF3BDC"/>
    <w:rsid w:val="00BF3E84"/>
    <w:rsid w:val="00C02F45"/>
    <w:rsid w:val="00C10302"/>
    <w:rsid w:val="00C142CF"/>
    <w:rsid w:val="00C17BE2"/>
    <w:rsid w:val="00C217CF"/>
    <w:rsid w:val="00C26963"/>
    <w:rsid w:val="00C27A56"/>
    <w:rsid w:val="00C4374F"/>
    <w:rsid w:val="00C55A3B"/>
    <w:rsid w:val="00C64667"/>
    <w:rsid w:val="00C707A9"/>
    <w:rsid w:val="00C93452"/>
    <w:rsid w:val="00C94712"/>
    <w:rsid w:val="00C974D7"/>
    <w:rsid w:val="00CC6298"/>
    <w:rsid w:val="00CF0262"/>
    <w:rsid w:val="00CF5050"/>
    <w:rsid w:val="00D247CB"/>
    <w:rsid w:val="00D26E78"/>
    <w:rsid w:val="00D404E0"/>
    <w:rsid w:val="00D64D46"/>
    <w:rsid w:val="00D66796"/>
    <w:rsid w:val="00DB3094"/>
    <w:rsid w:val="00DE3BFA"/>
    <w:rsid w:val="00DE6DA2"/>
    <w:rsid w:val="00DF1338"/>
    <w:rsid w:val="00DF6FA4"/>
    <w:rsid w:val="00E000C5"/>
    <w:rsid w:val="00E00B90"/>
    <w:rsid w:val="00E165F2"/>
    <w:rsid w:val="00E24C83"/>
    <w:rsid w:val="00E36AEF"/>
    <w:rsid w:val="00E41B35"/>
    <w:rsid w:val="00E43E3D"/>
    <w:rsid w:val="00E64D08"/>
    <w:rsid w:val="00E64E4E"/>
    <w:rsid w:val="00E72A89"/>
    <w:rsid w:val="00E93208"/>
    <w:rsid w:val="00EA79DF"/>
    <w:rsid w:val="00EB79B1"/>
    <w:rsid w:val="00EC6575"/>
    <w:rsid w:val="00EE4435"/>
    <w:rsid w:val="00EF7902"/>
    <w:rsid w:val="00F01FA2"/>
    <w:rsid w:val="00F07288"/>
    <w:rsid w:val="00F26249"/>
    <w:rsid w:val="00F3519E"/>
    <w:rsid w:val="00F52FA6"/>
    <w:rsid w:val="00F60F21"/>
    <w:rsid w:val="00F864D8"/>
    <w:rsid w:val="00F92D49"/>
    <w:rsid w:val="00FA40A0"/>
    <w:rsid w:val="00FB2526"/>
    <w:rsid w:val="00FB65A6"/>
    <w:rsid w:val="00FD7FE7"/>
    <w:rsid w:val="00FE7DAB"/>
    <w:rsid w:val="00FF03E1"/>
    <w:rsid w:val="00FF5786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2C9F"/>
  <w15:chartTrackingRefBased/>
  <w15:docId w15:val="{F1308E1C-5799-4CAB-9D5A-F1808713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2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1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1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1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1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1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1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2178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Kolorowa lista — akcent 11,Akapit z listą1,A_wyliczenie,K-P_odwolanie,Akapit z listą5,maz_wyliczenie,opis dzialania,Signature,List Paragraph"/>
    <w:basedOn w:val="Normalny"/>
    <w:link w:val="AkapitzlistZnak"/>
    <w:uiPriority w:val="34"/>
    <w:qFormat/>
    <w:rsid w:val="000C21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21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1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17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C21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1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4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D08"/>
  </w:style>
  <w:style w:type="paragraph" w:styleId="Stopka">
    <w:name w:val="footer"/>
    <w:basedOn w:val="Normalny"/>
    <w:link w:val="StopkaZnak"/>
    <w:uiPriority w:val="99"/>
    <w:unhideWhenUsed/>
    <w:rsid w:val="00E64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D0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58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58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58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A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A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A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A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A47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Akapit z listą BS Znak,Kolorowa lista — akcent 11 Znak,Akapit z listą1 Znak,A_wyliczenie Znak,K-P_odwolanie Znak,Akapit z listą5 Znak,maz_wyliczenie Znak,opis dzialania Znak,Signature Znak,List Paragraph Znak"/>
    <w:link w:val="Akapitzlist"/>
    <w:uiPriority w:val="34"/>
    <w:locked/>
    <w:rsid w:val="009B3FC2"/>
  </w:style>
  <w:style w:type="paragraph" w:customStyle="1" w:styleId="Default">
    <w:name w:val="Default"/>
    <w:qFormat/>
    <w:rsid w:val="009B3FC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EC6575"/>
    <w:pPr>
      <w:spacing w:after="0" w:line="240" w:lineRule="auto"/>
    </w:pPr>
  </w:style>
  <w:style w:type="paragraph" w:customStyle="1" w:styleId="pf0">
    <w:name w:val="pf0"/>
    <w:basedOn w:val="Normalny"/>
    <w:rsid w:val="008E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8E629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8E629D"/>
    <w:rPr>
      <w:rFonts w:ascii="Segoe UI" w:hAnsi="Segoe UI" w:cs="Segoe UI" w:hint="default"/>
      <w:i/>
      <w:iCs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E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2F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5F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5F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5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21ADA-FEFB-4FBB-88DA-2D76ED2B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1818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Siębor Aleksandra</dc:creator>
  <cp:keywords/>
  <dc:description/>
  <cp:lastModifiedBy>Sadownik Marzena</cp:lastModifiedBy>
  <cp:revision>2</cp:revision>
  <cp:lastPrinted>2026-06-02T11:51:00Z</cp:lastPrinted>
  <dcterms:created xsi:type="dcterms:W3CDTF">2026-06-02T12:05:00Z</dcterms:created>
  <dcterms:modified xsi:type="dcterms:W3CDTF">2026-06-02T12:05:00Z</dcterms:modified>
</cp:coreProperties>
</file>