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A0D6" w14:textId="77777777" w:rsidR="00630B01" w:rsidRPr="00DA193B" w:rsidRDefault="00630B01" w:rsidP="00184BD3">
      <w:pPr>
        <w:ind w:left="2694"/>
        <w:jc w:val="center"/>
        <w:rPr>
          <w:rFonts w:cstheme="minorHAnsi"/>
          <w:b/>
          <w:bCs/>
        </w:rPr>
      </w:pPr>
      <w:r w:rsidRPr="00DA193B">
        <w:rPr>
          <w:rFonts w:cstheme="minorHAnsi"/>
          <w:noProof/>
          <w:lang w:eastAsia="pl-PL"/>
        </w:rPr>
        <w:drawing>
          <wp:inline distT="0" distB="0" distL="0" distR="0" wp14:anchorId="3D489306" wp14:editId="243D182F">
            <wp:extent cx="8892540" cy="6762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2540" cy="676275"/>
                    </a:xfrm>
                    <a:prstGeom prst="rect">
                      <a:avLst/>
                    </a:prstGeom>
                    <a:noFill/>
                    <a:ln>
                      <a:noFill/>
                    </a:ln>
                  </pic:spPr>
                </pic:pic>
              </a:graphicData>
            </a:graphic>
          </wp:inline>
        </w:drawing>
      </w:r>
    </w:p>
    <w:p w14:paraId="4FF3F9D3" w14:textId="77777777" w:rsidR="00F012B2" w:rsidRPr="00DA193B" w:rsidRDefault="00F012B2" w:rsidP="00F012B2">
      <w:pPr>
        <w:rPr>
          <w:rFonts w:cstheme="minorHAnsi"/>
        </w:rPr>
      </w:pPr>
      <w:r w:rsidRPr="00DA193B">
        <w:rPr>
          <w:rFonts w:cstheme="minorHAnsi"/>
          <w:b/>
          <w:bCs/>
        </w:rPr>
        <w:t xml:space="preserve">Priorytet </w:t>
      </w:r>
      <w:r w:rsidR="004275CB" w:rsidRPr="00DA193B">
        <w:rPr>
          <w:rFonts w:cstheme="minorHAnsi"/>
          <w:b/>
          <w:bCs/>
        </w:rPr>
        <w:t>I</w:t>
      </w:r>
      <w:r w:rsidRPr="00DA193B">
        <w:rPr>
          <w:rFonts w:cstheme="minorHAnsi"/>
          <w:b/>
          <w:bCs/>
        </w:rPr>
        <w:t xml:space="preserve"> – </w:t>
      </w:r>
      <w:r w:rsidRPr="00DA193B">
        <w:rPr>
          <w:rFonts w:cstheme="minorHAnsi"/>
        </w:rPr>
        <w:t>Fundusze Europejskie dla bardziej konkurencyjnego i inteligentnego Mazowsza</w:t>
      </w:r>
    </w:p>
    <w:p w14:paraId="5DC3E373" w14:textId="77777777" w:rsidR="00F012B2" w:rsidRPr="00DA193B" w:rsidRDefault="00F012B2" w:rsidP="00F012B2">
      <w:pPr>
        <w:rPr>
          <w:rFonts w:cstheme="minorHAnsi"/>
          <w:b/>
          <w:bCs/>
        </w:rPr>
      </w:pPr>
      <w:r w:rsidRPr="00DA193B">
        <w:rPr>
          <w:rFonts w:cstheme="minorHAnsi"/>
          <w:b/>
          <w:bCs/>
        </w:rPr>
        <w:t>Działanie 1.2 -</w:t>
      </w:r>
      <w:r w:rsidRPr="00DA193B">
        <w:rPr>
          <w:rFonts w:cstheme="minorHAnsi"/>
        </w:rPr>
        <w:t xml:space="preserve"> E-usługi</w:t>
      </w:r>
    </w:p>
    <w:p w14:paraId="09269D75" w14:textId="18FBE7BE" w:rsidR="00F012B2" w:rsidRPr="00DA193B" w:rsidRDefault="00470633" w:rsidP="00470633">
      <w:pPr>
        <w:rPr>
          <w:rFonts w:cstheme="minorHAnsi"/>
        </w:rPr>
      </w:pPr>
      <w:r w:rsidRPr="00DA193B">
        <w:rPr>
          <w:rFonts w:cstheme="minorHAnsi"/>
          <w:b/>
          <w:bCs/>
        </w:rPr>
        <w:t xml:space="preserve">Typ projektu: </w:t>
      </w:r>
      <w:r w:rsidR="00695C2C" w:rsidRPr="00DA193B">
        <w:rPr>
          <w:rFonts w:cstheme="minorHAnsi"/>
        </w:rPr>
        <w:t>E-</w:t>
      </w:r>
      <w:r w:rsidR="00194141" w:rsidRPr="00DA193B">
        <w:rPr>
          <w:rFonts w:cstheme="minorHAnsi"/>
        </w:rPr>
        <w:t xml:space="preserve">zdrowie </w:t>
      </w:r>
      <w:r w:rsidR="00286E46">
        <w:rPr>
          <w:rFonts w:cstheme="minorHAnsi"/>
        </w:rPr>
        <w:t xml:space="preserve"> </w:t>
      </w:r>
      <w:r w:rsidR="00B46B94">
        <w:rPr>
          <w:rFonts w:cstheme="minorHAnsi"/>
        </w:rPr>
        <w:t>–</w:t>
      </w:r>
      <w:r w:rsidR="00126A62">
        <w:rPr>
          <w:rFonts w:cstheme="minorHAnsi"/>
        </w:rPr>
        <w:t xml:space="preserve"> </w:t>
      </w:r>
      <w:r w:rsidRPr="00DA193B">
        <w:rPr>
          <w:rFonts w:cstheme="minorHAnsi"/>
        </w:rPr>
        <w:t>tryb niekonkurencyjny</w:t>
      </w:r>
      <w:r w:rsidR="00126A62">
        <w:rPr>
          <w:rFonts w:cstheme="minorHAnsi"/>
        </w:rPr>
        <w:t xml:space="preserve"> („</w:t>
      </w:r>
      <w:r w:rsidR="00126A62" w:rsidRPr="00DA193B">
        <w:rPr>
          <w:rFonts w:cstheme="minorHAnsi"/>
        </w:rPr>
        <w:t xml:space="preserve">E-zdrowie </w:t>
      </w:r>
      <w:r w:rsidR="007D42A6">
        <w:rPr>
          <w:rFonts w:cstheme="minorHAnsi"/>
        </w:rPr>
        <w:t xml:space="preserve">dla Mazowsza </w:t>
      </w:r>
      <w:r w:rsidR="00126A62">
        <w:rPr>
          <w:rFonts w:cstheme="minorHAnsi"/>
        </w:rPr>
        <w:t xml:space="preserve">3” </w:t>
      </w:r>
      <w:r w:rsidR="00126A62" w:rsidRPr="00DA193B">
        <w:rPr>
          <w:rFonts w:cstheme="minorHAnsi"/>
        </w:rPr>
        <w:t>projekt Samorządu Województwa Mazowieckiego</w:t>
      </w:r>
      <w:r w:rsidR="00126A62">
        <w:rPr>
          <w:rFonts w:cstheme="minorHAnsi"/>
        </w:rPr>
        <w:t xml:space="preserve">) </w:t>
      </w:r>
    </w:p>
    <w:p w14:paraId="297353E4" w14:textId="77777777" w:rsidR="00470633" w:rsidRPr="00DA193B" w:rsidRDefault="00650A4F">
      <w:pPr>
        <w:rPr>
          <w:rFonts w:cstheme="minorHAnsi"/>
          <w:b/>
          <w:bCs/>
        </w:rPr>
      </w:pPr>
      <w:r w:rsidRPr="00DA193B">
        <w:rPr>
          <w:rFonts w:cstheme="minorHAnsi"/>
          <w:b/>
          <w:bCs/>
        </w:rPr>
        <w:t>KRYTERIA DOSTĘPU</w:t>
      </w:r>
    </w:p>
    <w:tbl>
      <w:tblPr>
        <w:tblStyle w:val="Tabela-Siatka"/>
        <w:tblW w:w="14737" w:type="dxa"/>
        <w:tblLayout w:type="fixed"/>
        <w:tblLook w:val="04A0" w:firstRow="1" w:lastRow="0" w:firstColumn="1" w:lastColumn="0" w:noHBand="0" w:noVBand="1"/>
      </w:tblPr>
      <w:tblGrid>
        <w:gridCol w:w="524"/>
        <w:gridCol w:w="3724"/>
        <w:gridCol w:w="7371"/>
        <w:gridCol w:w="1701"/>
        <w:gridCol w:w="1417"/>
      </w:tblGrid>
      <w:tr w:rsidR="002676FA" w:rsidRPr="00DA193B" w14:paraId="1236900D" w14:textId="77777777" w:rsidTr="00FE48A9">
        <w:tc>
          <w:tcPr>
            <w:tcW w:w="524" w:type="dxa"/>
          </w:tcPr>
          <w:p w14:paraId="4866291F" w14:textId="77777777" w:rsidR="00AC7327" w:rsidRPr="00DA193B" w:rsidRDefault="00AC7327" w:rsidP="00543227">
            <w:pPr>
              <w:jc w:val="center"/>
              <w:rPr>
                <w:rFonts w:cstheme="minorHAnsi"/>
                <w:b/>
                <w:bCs/>
              </w:rPr>
            </w:pPr>
            <w:r w:rsidRPr="00DA193B">
              <w:rPr>
                <w:rFonts w:cstheme="minorHAnsi"/>
                <w:b/>
                <w:bCs/>
              </w:rPr>
              <w:t>Lp.</w:t>
            </w:r>
          </w:p>
        </w:tc>
        <w:tc>
          <w:tcPr>
            <w:tcW w:w="3724" w:type="dxa"/>
          </w:tcPr>
          <w:p w14:paraId="12445531" w14:textId="77777777" w:rsidR="00AC7327" w:rsidRPr="00DA193B" w:rsidRDefault="00AC7327" w:rsidP="00543227">
            <w:pPr>
              <w:jc w:val="center"/>
              <w:rPr>
                <w:rFonts w:cstheme="minorHAnsi"/>
                <w:b/>
                <w:bCs/>
              </w:rPr>
            </w:pPr>
            <w:r w:rsidRPr="00DA193B">
              <w:rPr>
                <w:rFonts w:cstheme="minorHAnsi"/>
                <w:b/>
                <w:bCs/>
              </w:rPr>
              <w:t>Nazwa kryterium</w:t>
            </w:r>
          </w:p>
        </w:tc>
        <w:tc>
          <w:tcPr>
            <w:tcW w:w="7371" w:type="dxa"/>
          </w:tcPr>
          <w:p w14:paraId="628504DA" w14:textId="77777777" w:rsidR="00AC7327" w:rsidRPr="00DA193B" w:rsidRDefault="00650A4F" w:rsidP="00543227">
            <w:pPr>
              <w:jc w:val="center"/>
              <w:rPr>
                <w:rFonts w:cstheme="minorHAnsi"/>
                <w:b/>
                <w:bCs/>
              </w:rPr>
            </w:pPr>
            <w:r w:rsidRPr="00DA193B">
              <w:rPr>
                <w:rFonts w:cstheme="minorHAnsi"/>
                <w:b/>
              </w:rPr>
              <w:t>Definicja kryterium</w:t>
            </w:r>
          </w:p>
        </w:tc>
        <w:tc>
          <w:tcPr>
            <w:tcW w:w="1701" w:type="dxa"/>
          </w:tcPr>
          <w:p w14:paraId="2418070C" w14:textId="77777777" w:rsidR="00650A4F" w:rsidRPr="00DA193B" w:rsidRDefault="00650A4F" w:rsidP="00650A4F">
            <w:pPr>
              <w:jc w:val="center"/>
              <w:rPr>
                <w:rFonts w:cstheme="minorHAnsi"/>
                <w:b/>
              </w:rPr>
            </w:pPr>
            <w:r w:rsidRPr="00DA193B">
              <w:rPr>
                <w:rFonts w:cstheme="minorHAnsi"/>
                <w:b/>
              </w:rPr>
              <w:t>Punktacja/Opis</w:t>
            </w:r>
          </w:p>
          <w:p w14:paraId="48D327C2" w14:textId="77777777" w:rsidR="00650A4F" w:rsidRPr="00DA193B" w:rsidRDefault="00650A4F" w:rsidP="00650A4F">
            <w:pPr>
              <w:jc w:val="center"/>
              <w:rPr>
                <w:rFonts w:cstheme="minorHAnsi"/>
                <w:b/>
              </w:rPr>
            </w:pPr>
            <w:r w:rsidRPr="00DA193B">
              <w:rPr>
                <w:rFonts w:cstheme="minorHAnsi"/>
                <w:b/>
              </w:rPr>
              <w:t>znaczenia dla</w:t>
            </w:r>
          </w:p>
          <w:p w14:paraId="67A9137E" w14:textId="77777777" w:rsidR="00AC7327" w:rsidRPr="00DA193B" w:rsidRDefault="00650A4F" w:rsidP="00650A4F">
            <w:pPr>
              <w:jc w:val="center"/>
              <w:rPr>
                <w:rFonts w:cstheme="minorHAnsi"/>
                <w:b/>
                <w:bCs/>
              </w:rPr>
            </w:pPr>
            <w:r w:rsidRPr="00DA193B">
              <w:rPr>
                <w:rFonts w:cstheme="minorHAnsi"/>
                <w:b/>
              </w:rPr>
              <w:t>wyniku oceny</w:t>
            </w:r>
          </w:p>
        </w:tc>
        <w:tc>
          <w:tcPr>
            <w:tcW w:w="1417" w:type="dxa"/>
          </w:tcPr>
          <w:p w14:paraId="5C5DB6B1" w14:textId="77777777" w:rsidR="00AC7327" w:rsidRPr="00DA193B" w:rsidRDefault="00AC7327" w:rsidP="00543227">
            <w:pPr>
              <w:jc w:val="center"/>
              <w:rPr>
                <w:rFonts w:cstheme="minorHAnsi"/>
                <w:b/>
                <w:bCs/>
              </w:rPr>
            </w:pPr>
            <w:r w:rsidRPr="00DA193B">
              <w:rPr>
                <w:rFonts w:cstheme="minorHAnsi"/>
                <w:b/>
                <w:bCs/>
              </w:rPr>
              <w:t>Możliwość uzupełnienia</w:t>
            </w:r>
          </w:p>
        </w:tc>
      </w:tr>
      <w:tr w:rsidR="00941BB7" w:rsidRPr="00DA193B" w14:paraId="625FE099" w14:textId="77777777" w:rsidTr="00B42171">
        <w:trPr>
          <w:trHeight w:val="1666"/>
        </w:trPr>
        <w:tc>
          <w:tcPr>
            <w:tcW w:w="524" w:type="dxa"/>
          </w:tcPr>
          <w:p w14:paraId="5C7B194E" w14:textId="7663247D" w:rsidR="00941BB7" w:rsidRPr="0055598C" w:rsidRDefault="00941BB7" w:rsidP="00941BB7">
            <w:pPr>
              <w:pStyle w:val="Default"/>
              <w:rPr>
                <w:rFonts w:asciiTheme="minorHAnsi" w:hAnsiTheme="minorHAnsi" w:cstheme="minorHAnsi"/>
                <w:b/>
                <w:bCs/>
                <w:color w:val="auto"/>
                <w:sz w:val="22"/>
                <w:szCs w:val="22"/>
              </w:rPr>
            </w:pPr>
            <w:r w:rsidRPr="0055598C">
              <w:rPr>
                <w:rFonts w:cstheme="minorHAnsi"/>
                <w:b/>
                <w:bCs/>
              </w:rPr>
              <w:t>1.</w:t>
            </w:r>
          </w:p>
        </w:tc>
        <w:tc>
          <w:tcPr>
            <w:tcW w:w="3724" w:type="dxa"/>
          </w:tcPr>
          <w:p w14:paraId="7986A8C3" w14:textId="2CA4CE1C" w:rsidR="00941BB7" w:rsidRPr="007A60FD" w:rsidRDefault="00941BB7" w:rsidP="00941BB7">
            <w:pPr>
              <w:pStyle w:val="Default"/>
              <w:rPr>
                <w:rFonts w:asciiTheme="minorHAnsi" w:hAnsiTheme="minorHAnsi" w:cstheme="minorHAnsi"/>
                <w:b/>
                <w:bCs/>
                <w:color w:val="auto"/>
                <w:sz w:val="22"/>
                <w:szCs w:val="22"/>
              </w:rPr>
            </w:pPr>
            <w:r w:rsidRPr="007A60FD">
              <w:rPr>
                <w:rFonts w:cstheme="minorHAnsi"/>
                <w:b/>
                <w:bCs/>
                <w:sz w:val="22"/>
                <w:szCs w:val="22"/>
              </w:rPr>
              <w:t>Zgodność z systemem realizacji właściwego programu</w:t>
            </w:r>
          </w:p>
        </w:tc>
        <w:tc>
          <w:tcPr>
            <w:tcW w:w="7371" w:type="dxa"/>
          </w:tcPr>
          <w:p w14:paraId="50F005A9" w14:textId="4DC163F9" w:rsidR="00941BB7" w:rsidRDefault="00FB69FE" w:rsidP="00941BB7">
            <w:pPr>
              <w:pStyle w:val="Default"/>
              <w:rPr>
                <w:rFonts w:asciiTheme="minorHAnsi" w:hAnsiTheme="minorHAnsi" w:cstheme="minorHAnsi"/>
                <w:color w:val="auto"/>
                <w:kern w:val="2"/>
                <w:sz w:val="22"/>
                <w:szCs w:val="22"/>
              </w:rPr>
            </w:pPr>
            <w:r w:rsidRPr="00FB69FE">
              <w:rPr>
                <w:rFonts w:asciiTheme="minorHAnsi" w:hAnsiTheme="minorHAnsi" w:cstheme="minorHAnsi"/>
                <w:color w:val="auto"/>
                <w:kern w:val="2"/>
                <w:sz w:val="22"/>
                <w:szCs w:val="22"/>
              </w:rPr>
              <w:t>W ramach kryterium weryfikowane jest, czy projekt zgodny jest z typami projektów w danym Działaniu określonymi w „Szczegółowym Opisie Priorytetów Programu Fundusze Europejskie dla Mazowsza 2021-2027 (SZOP)” aktualnym na dzień ogłoszenia postępowania w zakresie naboru wniosk</w:t>
            </w:r>
            <w:r w:rsidR="00405440">
              <w:rPr>
                <w:rFonts w:asciiTheme="minorHAnsi" w:hAnsiTheme="minorHAnsi" w:cstheme="minorHAnsi"/>
                <w:color w:val="auto"/>
                <w:kern w:val="2"/>
                <w:sz w:val="22"/>
                <w:szCs w:val="22"/>
              </w:rPr>
              <w:t>u</w:t>
            </w:r>
            <w:r w:rsidRPr="00FB69FE">
              <w:rPr>
                <w:rFonts w:asciiTheme="minorHAnsi" w:hAnsiTheme="minorHAnsi" w:cstheme="minorHAnsi"/>
                <w:color w:val="auto"/>
                <w:kern w:val="2"/>
                <w:sz w:val="22"/>
                <w:szCs w:val="22"/>
              </w:rPr>
              <w:t xml:space="preserve"> o dofinansowanie (pole: Opis działania) oraz Regulaminie wyboru projektów, a także, czy cele projektu skutecznie przyczyniają się do osiągnięcia celów szczegółowych danego Priorytetu określonych w Programie Fundusze Europejskie dla Mazowsza 2021-2027 oraz pozostają w zgodzie z celami danego naboru. </w:t>
            </w:r>
          </w:p>
          <w:p w14:paraId="3E054277" w14:textId="34B8C98D" w:rsidR="00700D22" w:rsidRPr="005354E1" w:rsidRDefault="00700D22" w:rsidP="00941BB7">
            <w:pPr>
              <w:pStyle w:val="Default"/>
              <w:rPr>
                <w:rFonts w:asciiTheme="minorHAnsi" w:hAnsiTheme="minorHAnsi" w:cstheme="minorHAnsi"/>
                <w:color w:val="auto"/>
                <w:sz w:val="22"/>
                <w:szCs w:val="22"/>
              </w:rPr>
            </w:pPr>
          </w:p>
        </w:tc>
        <w:tc>
          <w:tcPr>
            <w:tcW w:w="1701" w:type="dxa"/>
          </w:tcPr>
          <w:p w14:paraId="6AD3B25C" w14:textId="700E246F" w:rsidR="00941BB7" w:rsidRPr="00631C36" w:rsidRDefault="00941BB7" w:rsidP="00941BB7">
            <w:pPr>
              <w:pStyle w:val="Default"/>
              <w:jc w:val="center"/>
            </w:pPr>
            <w:r w:rsidRPr="00DA193B">
              <w:rPr>
                <w:rFonts w:cstheme="minorHAnsi"/>
              </w:rPr>
              <w:t>0/1</w:t>
            </w:r>
          </w:p>
        </w:tc>
        <w:tc>
          <w:tcPr>
            <w:tcW w:w="1417" w:type="dxa"/>
          </w:tcPr>
          <w:p w14:paraId="566E592C" w14:textId="69989867" w:rsidR="00941BB7" w:rsidRPr="00631C36" w:rsidRDefault="00941BB7" w:rsidP="00941BB7">
            <w:pPr>
              <w:pStyle w:val="Default"/>
              <w:jc w:val="center"/>
            </w:pPr>
            <w:r w:rsidRPr="00DA193B">
              <w:rPr>
                <w:rFonts w:cstheme="minorHAnsi"/>
              </w:rPr>
              <w:t>Tak</w:t>
            </w:r>
          </w:p>
        </w:tc>
      </w:tr>
      <w:tr w:rsidR="00941BB7" w:rsidRPr="00DA193B" w14:paraId="38AD73A5" w14:textId="77777777" w:rsidTr="00B42171">
        <w:trPr>
          <w:trHeight w:val="1666"/>
        </w:trPr>
        <w:tc>
          <w:tcPr>
            <w:tcW w:w="524" w:type="dxa"/>
          </w:tcPr>
          <w:p w14:paraId="35A85662" w14:textId="7BFDD8F6" w:rsidR="00941BB7" w:rsidRPr="0055598C" w:rsidRDefault="00941BB7" w:rsidP="00941BB7">
            <w:pPr>
              <w:pStyle w:val="Default"/>
              <w:rPr>
                <w:rFonts w:asciiTheme="minorHAnsi" w:hAnsiTheme="minorHAnsi" w:cstheme="minorHAnsi"/>
                <w:b/>
                <w:bCs/>
                <w:color w:val="auto"/>
                <w:sz w:val="22"/>
                <w:szCs w:val="22"/>
              </w:rPr>
            </w:pPr>
            <w:r w:rsidRPr="0055598C">
              <w:rPr>
                <w:rFonts w:asciiTheme="minorHAnsi" w:hAnsiTheme="minorHAnsi" w:cstheme="minorHAnsi"/>
                <w:b/>
                <w:bCs/>
                <w:color w:val="auto"/>
                <w:sz w:val="22"/>
                <w:szCs w:val="22"/>
              </w:rPr>
              <w:t>2.</w:t>
            </w:r>
          </w:p>
        </w:tc>
        <w:tc>
          <w:tcPr>
            <w:tcW w:w="3724" w:type="dxa"/>
          </w:tcPr>
          <w:p w14:paraId="1606B7EF" w14:textId="4D13FC60" w:rsidR="00941BB7" w:rsidRDefault="00941BB7" w:rsidP="00941BB7">
            <w:pPr>
              <w:pStyle w:val="Default"/>
              <w:rPr>
                <w:rFonts w:asciiTheme="minorHAnsi" w:hAnsiTheme="minorHAnsi" w:cstheme="minorHAnsi"/>
                <w:b/>
                <w:bCs/>
                <w:color w:val="auto"/>
                <w:sz w:val="22"/>
                <w:szCs w:val="22"/>
              </w:rPr>
            </w:pPr>
            <w:r w:rsidRPr="00DA193B">
              <w:rPr>
                <w:rFonts w:asciiTheme="minorHAnsi" w:hAnsiTheme="minorHAnsi" w:cstheme="minorHAnsi"/>
                <w:b/>
                <w:bCs/>
                <w:color w:val="auto"/>
                <w:sz w:val="22"/>
                <w:szCs w:val="22"/>
              </w:rPr>
              <w:t>Zgodność e-usług ze zdiagnozowanymi potrzebami interesariuszy i grup docelowych</w:t>
            </w:r>
          </w:p>
        </w:tc>
        <w:tc>
          <w:tcPr>
            <w:tcW w:w="7371" w:type="dxa"/>
          </w:tcPr>
          <w:p w14:paraId="1C73E4BB" w14:textId="77777777" w:rsidR="00941BB7" w:rsidRDefault="00FB69FE" w:rsidP="00941BB7">
            <w:pPr>
              <w:pStyle w:val="Default"/>
              <w:rPr>
                <w:rFonts w:asciiTheme="minorHAnsi" w:hAnsiTheme="minorHAnsi" w:cstheme="minorHAnsi"/>
                <w:color w:val="auto"/>
                <w:sz w:val="22"/>
                <w:szCs w:val="22"/>
              </w:rPr>
            </w:pPr>
            <w:r w:rsidRPr="00FB69FE">
              <w:rPr>
                <w:rFonts w:asciiTheme="minorHAnsi" w:hAnsiTheme="minorHAnsi" w:cstheme="minorHAnsi"/>
                <w:color w:val="auto"/>
                <w:sz w:val="22"/>
                <w:szCs w:val="22"/>
              </w:rPr>
              <w:t>W ramach kryterium wnioskodawca powinien wykazać, że zidentyfikowano grupy docelowe i ich potrzeby (zarówno aktualne, jak i prognozowane) do każdej, wdrażanej w ramach projektu, e-usługi. Należy również opisać jak potrzeby grup docelowych wpłynęły na, przyjęty w projekcie, zakres i sposób realizacji e-usług. Jednocześnie wnioskodawca ma obowiązek wykazać, we wniosku o dofinansowanie, zasadność  realizacji e-usług w kontekście istniejących już rozwiązań, w szczególności - produkty specjalistyczne projektu nie mogą dublować istniejących.</w:t>
            </w:r>
          </w:p>
          <w:p w14:paraId="1ACB067F" w14:textId="057D5F6D" w:rsidR="00700D22" w:rsidRPr="005354E1" w:rsidRDefault="00700D22" w:rsidP="00941BB7">
            <w:pPr>
              <w:pStyle w:val="Default"/>
              <w:rPr>
                <w:rFonts w:asciiTheme="minorHAnsi" w:hAnsiTheme="minorHAnsi" w:cstheme="minorHAnsi"/>
                <w:color w:val="auto"/>
                <w:sz w:val="22"/>
                <w:szCs w:val="22"/>
              </w:rPr>
            </w:pPr>
          </w:p>
        </w:tc>
        <w:tc>
          <w:tcPr>
            <w:tcW w:w="1701" w:type="dxa"/>
          </w:tcPr>
          <w:p w14:paraId="79C4F23A" w14:textId="57F88B2B" w:rsidR="00941BB7" w:rsidRPr="00631C36" w:rsidRDefault="00941BB7" w:rsidP="00941BB7">
            <w:pPr>
              <w:pStyle w:val="Default"/>
              <w:jc w:val="center"/>
            </w:pPr>
            <w:r w:rsidRPr="00DA193B">
              <w:rPr>
                <w:rFonts w:asciiTheme="minorHAnsi" w:hAnsiTheme="minorHAnsi" w:cstheme="minorHAnsi"/>
                <w:color w:val="auto"/>
                <w:sz w:val="22"/>
                <w:szCs w:val="22"/>
              </w:rPr>
              <w:t>0/1</w:t>
            </w:r>
          </w:p>
        </w:tc>
        <w:tc>
          <w:tcPr>
            <w:tcW w:w="1417" w:type="dxa"/>
          </w:tcPr>
          <w:p w14:paraId="138D8ED6" w14:textId="74FFE26F" w:rsidR="00941BB7" w:rsidRPr="00631C36" w:rsidRDefault="00941BB7" w:rsidP="00941BB7">
            <w:pPr>
              <w:pStyle w:val="Default"/>
              <w:jc w:val="center"/>
            </w:pPr>
            <w:r w:rsidRPr="00DA193B">
              <w:rPr>
                <w:rFonts w:asciiTheme="minorHAnsi" w:hAnsiTheme="minorHAnsi" w:cstheme="minorHAnsi"/>
                <w:color w:val="auto"/>
                <w:sz w:val="22"/>
                <w:szCs w:val="22"/>
              </w:rPr>
              <w:t>Tak</w:t>
            </w:r>
          </w:p>
        </w:tc>
      </w:tr>
      <w:tr w:rsidR="00941BB7" w:rsidRPr="00DA193B" w14:paraId="3539F260" w14:textId="77777777" w:rsidTr="00B42171">
        <w:trPr>
          <w:trHeight w:val="1666"/>
        </w:trPr>
        <w:tc>
          <w:tcPr>
            <w:tcW w:w="524" w:type="dxa"/>
          </w:tcPr>
          <w:p w14:paraId="7F1DCBA1" w14:textId="127C1E2A" w:rsidR="00941BB7" w:rsidRPr="0055598C" w:rsidRDefault="00941BB7" w:rsidP="00941BB7">
            <w:pPr>
              <w:pStyle w:val="Default"/>
              <w:rPr>
                <w:rFonts w:asciiTheme="minorHAnsi" w:hAnsiTheme="minorHAnsi" w:cstheme="minorHAnsi"/>
                <w:b/>
                <w:bCs/>
                <w:color w:val="auto"/>
                <w:sz w:val="22"/>
                <w:szCs w:val="22"/>
              </w:rPr>
            </w:pPr>
            <w:r w:rsidRPr="0055598C">
              <w:rPr>
                <w:rFonts w:asciiTheme="minorHAnsi" w:hAnsiTheme="minorHAnsi" w:cstheme="minorHAnsi"/>
                <w:b/>
                <w:bCs/>
                <w:color w:val="auto"/>
                <w:sz w:val="22"/>
                <w:szCs w:val="22"/>
              </w:rPr>
              <w:lastRenderedPageBreak/>
              <w:t>3.</w:t>
            </w:r>
          </w:p>
        </w:tc>
        <w:tc>
          <w:tcPr>
            <w:tcW w:w="3724" w:type="dxa"/>
          </w:tcPr>
          <w:p w14:paraId="3519CB29" w14:textId="49939B05" w:rsidR="00941BB7" w:rsidRDefault="00941BB7" w:rsidP="00941BB7">
            <w:pPr>
              <w:pStyle w:val="Default"/>
              <w:rPr>
                <w:rFonts w:asciiTheme="minorHAnsi" w:hAnsiTheme="minorHAnsi" w:cstheme="minorHAnsi"/>
                <w:b/>
                <w:bCs/>
                <w:color w:val="auto"/>
                <w:sz w:val="22"/>
                <w:szCs w:val="22"/>
              </w:rPr>
            </w:pPr>
            <w:r w:rsidRPr="00DA193B">
              <w:rPr>
                <w:rFonts w:asciiTheme="minorHAnsi" w:hAnsiTheme="minorHAnsi" w:cstheme="minorHAnsi"/>
                <w:b/>
                <w:bCs/>
                <w:color w:val="auto"/>
                <w:sz w:val="22"/>
                <w:szCs w:val="22"/>
              </w:rPr>
              <w:t>Projekt jest zgodny z mapą potrzeb zdrowotnych.</w:t>
            </w:r>
          </w:p>
        </w:tc>
        <w:tc>
          <w:tcPr>
            <w:tcW w:w="7371" w:type="dxa"/>
          </w:tcPr>
          <w:p w14:paraId="10E73572" w14:textId="476D0DCD" w:rsidR="00FB69FE" w:rsidRDefault="00FB69FE" w:rsidP="00FB69FE">
            <w:pPr>
              <w:autoSpaceDE w:val="0"/>
              <w:autoSpaceDN w:val="0"/>
              <w:adjustRightInd w:val="0"/>
              <w:rPr>
                <w:rFonts w:ascii="Calibri" w:eastAsia="Calibri" w:hAnsi="Calibri" w:cs="Calibri"/>
                <w:kern w:val="0"/>
              </w:rPr>
            </w:pPr>
            <w:r w:rsidRPr="00FB69FE">
              <w:rPr>
                <w:rFonts w:ascii="Calibri" w:eastAsia="Calibri" w:hAnsi="Calibri" w:cs="Calibri"/>
                <w:kern w:val="0"/>
              </w:rPr>
              <w:t>W ramach kryterium weryfikowane będzie, czy realizacja projektu jest uzasadniona danymi, aktualnymi na dzień ogłoszenia naboru, zawartymi w Mapie potrzeb zdrowotnych na okres od 1 stycznia 2022 r. do 31 grudnia 2026 r.* lub danymi źródłowymi do ww. mapy dostępnymi na internetowej platformie danych Baza Analiz Systemowych i Wdrożeniowych udostępnionej przez Ministerstwo Zdrowia**, o ile dane wymagane do oceny projektu nie zostały uwzględnione w obowiązującej mapie i jest zgodna z rekomendacjami wynikającymi z tych map.</w:t>
            </w:r>
          </w:p>
          <w:p w14:paraId="3D0D3F82" w14:textId="77777777" w:rsidR="000E0704" w:rsidRPr="00FB69FE" w:rsidRDefault="000E0704" w:rsidP="00FB69FE">
            <w:pPr>
              <w:autoSpaceDE w:val="0"/>
              <w:autoSpaceDN w:val="0"/>
              <w:adjustRightInd w:val="0"/>
              <w:rPr>
                <w:rFonts w:ascii="Calibri" w:eastAsia="Calibri" w:hAnsi="Calibri" w:cs="Calibri"/>
                <w:kern w:val="0"/>
              </w:rPr>
            </w:pPr>
          </w:p>
          <w:p w14:paraId="10FA1B47" w14:textId="77777777" w:rsidR="00FB69FE" w:rsidRPr="00FB69FE" w:rsidRDefault="00FB69FE" w:rsidP="00FB69FE">
            <w:pPr>
              <w:autoSpaceDE w:val="0"/>
              <w:autoSpaceDN w:val="0"/>
              <w:adjustRightInd w:val="0"/>
              <w:rPr>
                <w:rFonts w:ascii="Calibri" w:eastAsia="MS Mincho" w:hAnsi="Calibri" w:cs="Calibri"/>
                <w:color w:val="000000"/>
                <w:kern w:val="0"/>
                <w:sz w:val="24"/>
                <w:szCs w:val="24"/>
                <w14:ligatures w14:val="none"/>
              </w:rPr>
            </w:pPr>
            <w:r w:rsidRPr="00FB69FE">
              <w:rPr>
                <w:rFonts w:ascii="Calibri" w:eastAsia="MS Mincho" w:hAnsi="Calibri" w:cs="Calibri"/>
                <w:kern w:val="0"/>
                <w:sz w:val="20"/>
                <w:szCs w:val="20"/>
                <w:vertAlign w:val="superscript"/>
                <w14:ligatures w14:val="none"/>
              </w:rPr>
              <w:t>*</w:t>
            </w:r>
            <w:r w:rsidRPr="00FB69FE">
              <w:rPr>
                <w:rFonts w:ascii="Calibri" w:eastAsia="MS Mincho" w:hAnsi="Calibri" w:cs="Calibri"/>
                <w:color w:val="000000"/>
                <w:kern w:val="0"/>
                <w:sz w:val="20"/>
                <w:szCs w:val="20"/>
                <w:vertAlign w:val="superscript"/>
                <w14:ligatures w14:val="none"/>
              </w:rPr>
              <w:t xml:space="preserve"> Aktualna mapa potrzeb dostępna jest pod adresem: </w:t>
            </w:r>
          </w:p>
          <w:p w14:paraId="65F5237F" w14:textId="77777777" w:rsidR="00FB69FE" w:rsidRPr="00FB69FE" w:rsidRDefault="00FB69FE" w:rsidP="00FB69FE">
            <w:pPr>
              <w:autoSpaceDE w:val="0"/>
              <w:autoSpaceDN w:val="0"/>
              <w:adjustRightInd w:val="0"/>
              <w:rPr>
                <w:rFonts w:ascii="Calibri" w:eastAsia="Calibri" w:hAnsi="Calibri" w:cs="Times New Roman"/>
                <w:color w:val="0563C1"/>
                <w:kern w:val="0"/>
                <w:sz w:val="24"/>
                <w:szCs w:val="24"/>
                <w:u w:val="single"/>
                <w:vertAlign w:val="superscript"/>
                <w14:ligatures w14:val="none"/>
              </w:rPr>
            </w:pPr>
            <w:hyperlink r:id="rId9" w:history="1">
              <w:r w:rsidRPr="00FB69FE">
                <w:rPr>
                  <w:rFonts w:ascii="Calibri" w:eastAsia="Calibri" w:hAnsi="Calibri" w:cs="Times New Roman"/>
                  <w:color w:val="0563C1"/>
                  <w:kern w:val="0"/>
                  <w:sz w:val="20"/>
                  <w:szCs w:val="20"/>
                  <w:u w:val="single"/>
                  <w:vertAlign w:val="superscript"/>
                  <w14:ligatures w14:val="none"/>
                </w:rPr>
                <w:t>https://www.gov.pl/web/zdrowie/mapa-potrzeb-zdrowotnych</w:t>
              </w:r>
            </w:hyperlink>
          </w:p>
          <w:p w14:paraId="0A811AD9" w14:textId="77777777" w:rsidR="00941BB7" w:rsidRDefault="00FB69FE" w:rsidP="00FB69FE">
            <w:pPr>
              <w:pStyle w:val="Default"/>
              <w:rPr>
                <w:rFonts w:eastAsia="Calibri" w:cs="Times New Roman"/>
                <w:color w:val="auto"/>
                <w:sz w:val="22"/>
                <w:szCs w:val="22"/>
                <w14:ligatures w14:val="none"/>
              </w:rPr>
            </w:pPr>
            <w:r w:rsidRPr="00FB69FE">
              <w:rPr>
                <w:rFonts w:eastAsia="Calibri" w:cs="Times New Roman"/>
                <w:color w:val="0563C1"/>
                <w:sz w:val="20"/>
                <w:szCs w:val="20"/>
                <w:u w:val="single"/>
                <w:vertAlign w:val="superscript"/>
                <w14:ligatures w14:val="none"/>
              </w:rPr>
              <w:t>**</w:t>
            </w:r>
            <w:r w:rsidRPr="00FB69FE">
              <w:rPr>
                <w:rFonts w:eastAsia="Calibri" w:cs="Times New Roman"/>
                <w:color w:val="auto"/>
                <w:sz w:val="20"/>
                <w:szCs w:val="20"/>
                <w:vertAlign w:val="superscript"/>
                <w14:ligatures w14:val="none"/>
              </w:rPr>
              <w:t xml:space="preserve"> Aktualne mapy potrzeb w zakresie AOS i leczenia szpitalnego dostępne są pod adresem: </w:t>
            </w:r>
            <w:hyperlink r:id="rId10" w:history="1">
              <w:r w:rsidRPr="00FB69FE">
                <w:rPr>
                  <w:rFonts w:eastAsia="Calibri" w:cs="Times New Roman"/>
                  <w:color w:val="0563C1"/>
                  <w:sz w:val="20"/>
                  <w:szCs w:val="20"/>
                  <w:u w:val="single"/>
                  <w:vertAlign w:val="superscript"/>
                  <w14:ligatures w14:val="none"/>
                </w:rPr>
                <w:t>https://basiw.mz.gov.pl/mapy-informacje/mapa-2022-2026/analizy/</w:t>
              </w:r>
            </w:hyperlink>
          </w:p>
          <w:p w14:paraId="3993BE7C" w14:textId="085F9B87" w:rsidR="00700D22" w:rsidRPr="005354E1" w:rsidRDefault="00700D22" w:rsidP="00FB69FE">
            <w:pPr>
              <w:pStyle w:val="Default"/>
              <w:rPr>
                <w:rFonts w:asciiTheme="minorHAnsi" w:hAnsiTheme="minorHAnsi" w:cstheme="minorHAnsi"/>
                <w:color w:val="auto"/>
                <w:sz w:val="22"/>
                <w:szCs w:val="22"/>
              </w:rPr>
            </w:pPr>
          </w:p>
        </w:tc>
        <w:tc>
          <w:tcPr>
            <w:tcW w:w="1701" w:type="dxa"/>
          </w:tcPr>
          <w:p w14:paraId="73FF65AC" w14:textId="2A30AC36" w:rsidR="00941BB7" w:rsidRPr="00631C36" w:rsidRDefault="00941BB7" w:rsidP="00941BB7">
            <w:pPr>
              <w:pStyle w:val="Default"/>
              <w:jc w:val="center"/>
            </w:pPr>
            <w:r w:rsidRPr="00DA193B">
              <w:rPr>
                <w:rFonts w:asciiTheme="minorHAnsi" w:hAnsiTheme="minorHAnsi" w:cstheme="minorHAnsi"/>
                <w:color w:val="auto"/>
                <w:sz w:val="22"/>
                <w:szCs w:val="22"/>
              </w:rPr>
              <w:t>0/1</w:t>
            </w:r>
          </w:p>
        </w:tc>
        <w:tc>
          <w:tcPr>
            <w:tcW w:w="1417" w:type="dxa"/>
          </w:tcPr>
          <w:p w14:paraId="27EC7464" w14:textId="284B68D0" w:rsidR="00941BB7" w:rsidRPr="00631C36" w:rsidRDefault="00941BB7" w:rsidP="00941BB7">
            <w:pPr>
              <w:pStyle w:val="Default"/>
              <w:jc w:val="center"/>
            </w:pPr>
            <w:r w:rsidRPr="00DA193B">
              <w:rPr>
                <w:rFonts w:asciiTheme="minorHAnsi" w:hAnsiTheme="minorHAnsi" w:cstheme="minorHAnsi"/>
                <w:color w:val="auto"/>
                <w:sz w:val="22"/>
                <w:szCs w:val="22"/>
              </w:rPr>
              <w:t>Tak</w:t>
            </w:r>
          </w:p>
        </w:tc>
      </w:tr>
      <w:tr w:rsidR="00941BB7" w:rsidRPr="00DA193B" w14:paraId="106D1149" w14:textId="77777777" w:rsidTr="00B42171">
        <w:trPr>
          <w:trHeight w:val="1666"/>
        </w:trPr>
        <w:tc>
          <w:tcPr>
            <w:tcW w:w="524" w:type="dxa"/>
          </w:tcPr>
          <w:p w14:paraId="3004B7F0" w14:textId="5C14A37E" w:rsidR="00941BB7" w:rsidRPr="0055598C" w:rsidRDefault="00941BB7" w:rsidP="00941BB7">
            <w:pPr>
              <w:pStyle w:val="Default"/>
              <w:rPr>
                <w:rFonts w:asciiTheme="minorHAnsi" w:hAnsiTheme="minorHAnsi" w:cstheme="minorHAnsi"/>
                <w:b/>
                <w:bCs/>
                <w:color w:val="auto"/>
                <w:sz w:val="22"/>
                <w:szCs w:val="22"/>
              </w:rPr>
            </w:pPr>
            <w:r w:rsidRPr="0055598C">
              <w:rPr>
                <w:rFonts w:asciiTheme="minorHAnsi" w:hAnsiTheme="minorHAnsi" w:cstheme="minorHAnsi"/>
                <w:b/>
                <w:bCs/>
                <w:color w:val="auto"/>
                <w:sz w:val="22"/>
                <w:szCs w:val="22"/>
              </w:rPr>
              <w:t>4.</w:t>
            </w:r>
          </w:p>
        </w:tc>
        <w:tc>
          <w:tcPr>
            <w:tcW w:w="3724" w:type="dxa"/>
          </w:tcPr>
          <w:p w14:paraId="2B67FF04" w14:textId="3FA31682" w:rsidR="000E0704" w:rsidRPr="000E0704" w:rsidRDefault="000E0704" w:rsidP="000E0704">
            <w:pPr>
              <w:pStyle w:val="Default"/>
              <w:rPr>
                <w:rFonts w:asciiTheme="minorHAnsi" w:hAnsiTheme="minorHAnsi" w:cstheme="minorHAnsi"/>
                <w:b/>
                <w:bCs/>
                <w:color w:val="auto"/>
                <w:sz w:val="22"/>
                <w:szCs w:val="22"/>
              </w:rPr>
            </w:pPr>
            <w:r w:rsidRPr="000E0704">
              <w:rPr>
                <w:rFonts w:asciiTheme="minorHAnsi" w:hAnsiTheme="minorHAnsi" w:cstheme="minorHAnsi"/>
                <w:b/>
                <w:bCs/>
                <w:color w:val="auto"/>
                <w:sz w:val="22"/>
                <w:szCs w:val="22"/>
              </w:rPr>
              <w:t>Projekt posiada pozytywną opinię Ministerstwa Zdrowia, o której mowa w § 9 ust. 6 Regulaminu Komitetu Sterującego do spraw</w:t>
            </w:r>
          </w:p>
          <w:p w14:paraId="40114C07" w14:textId="4FAF08A8" w:rsidR="00941BB7" w:rsidRDefault="000E0704" w:rsidP="000E0704">
            <w:pPr>
              <w:pStyle w:val="Default"/>
              <w:rPr>
                <w:rFonts w:asciiTheme="minorHAnsi" w:hAnsiTheme="minorHAnsi" w:cstheme="minorHAnsi"/>
                <w:b/>
                <w:bCs/>
                <w:color w:val="auto"/>
                <w:sz w:val="22"/>
                <w:szCs w:val="22"/>
              </w:rPr>
            </w:pPr>
            <w:r w:rsidRPr="000E0704">
              <w:rPr>
                <w:rFonts w:asciiTheme="minorHAnsi" w:hAnsiTheme="minorHAnsi" w:cstheme="minorHAnsi"/>
                <w:b/>
                <w:bCs/>
                <w:color w:val="auto"/>
                <w:sz w:val="22"/>
                <w:szCs w:val="22"/>
              </w:rPr>
              <w:t>koordynacji wsparcia w sektorze zdrowia</w:t>
            </w:r>
          </w:p>
        </w:tc>
        <w:tc>
          <w:tcPr>
            <w:tcW w:w="7371" w:type="dxa"/>
          </w:tcPr>
          <w:p w14:paraId="7193AFA5" w14:textId="460981D6" w:rsidR="00AA1D57" w:rsidRDefault="000E0704" w:rsidP="000E0704">
            <w:pPr>
              <w:autoSpaceDE w:val="0"/>
              <w:autoSpaceDN w:val="0"/>
              <w:adjustRightInd w:val="0"/>
              <w:rPr>
                <w:rFonts w:ascii="Calibri" w:eastAsia="MS Mincho" w:hAnsi="Calibri" w:cs="Calibri"/>
                <w:kern w:val="0"/>
                <w14:ligatures w14:val="none"/>
              </w:rPr>
            </w:pPr>
            <w:r w:rsidRPr="000E0704">
              <w:rPr>
                <w:rFonts w:ascii="Calibri" w:eastAsia="MS Mincho" w:hAnsi="Calibri" w:cs="Calibri"/>
                <w:kern w:val="0"/>
                <w14:ligatures w14:val="none"/>
              </w:rPr>
              <w:t>W ramach kryterium weryfikowane będzie, czy przedsięwzięcia z zakresu</w:t>
            </w:r>
            <w:r>
              <w:rPr>
                <w:rFonts w:ascii="Calibri" w:eastAsia="MS Mincho" w:hAnsi="Calibri" w:cs="Calibri"/>
                <w:kern w:val="0"/>
                <w14:ligatures w14:val="none"/>
              </w:rPr>
              <w:br/>
            </w:r>
            <w:r w:rsidRPr="000E0704">
              <w:rPr>
                <w:rFonts w:ascii="Calibri" w:eastAsia="MS Mincho" w:hAnsi="Calibri" w:cs="Calibri"/>
                <w:kern w:val="0"/>
                <w14:ligatures w14:val="none"/>
              </w:rPr>
              <w:t>e-zdrowia i telemedycyny*, których wartość komponentu e-zdrowia i/lub telemedycyny stanowi ponad 20% wartości projektu oraz wynosi minimum 2 mln zł</w:t>
            </w:r>
            <w:r w:rsidR="00DD2B51">
              <w:rPr>
                <w:rFonts w:ascii="Calibri" w:eastAsia="MS Mincho" w:hAnsi="Calibri" w:cs="Calibri"/>
                <w:kern w:val="0"/>
                <w14:ligatures w14:val="none"/>
              </w:rPr>
              <w:t>,</w:t>
            </w:r>
            <w:r w:rsidRPr="000E0704">
              <w:rPr>
                <w:rFonts w:ascii="Calibri" w:eastAsia="MS Mincho" w:hAnsi="Calibri" w:cs="Calibri"/>
                <w:kern w:val="0"/>
                <w14:ligatures w14:val="none"/>
              </w:rPr>
              <w:t xml:space="preserve"> mogą zostać objęte wsparciem z programu regionalnego pod warunkiem potwierdzenia w trybie określonym przez Ministra Zdrowia zgodności projektu z dokumentami strategicznymi i programowymi w obszarze zdrowia cyfrowego oraz jego komplementarności i interoperacyjności z rozwiązaniami</w:t>
            </w:r>
            <w:r w:rsidRPr="000E0704">
              <w:rPr>
                <w:rFonts w:ascii="Calibri" w:eastAsia="MS Mincho" w:hAnsi="Calibri" w:cs="Calibri"/>
                <w:kern w:val="0"/>
                <w14:ligatures w14:val="none"/>
              </w:rPr>
              <w:br/>
            </w:r>
            <w:r w:rsidRPr="00CE763A">
              <w:rPr>
                <w:rFonts w:ascii="Calibri" w:eastAsia="MS Mincho" w:hAnsi="Calibri" w:cs="Calibri"/>
                <w:kern w:val="0"/>
                <w14:ligatures w14:val="none"/>
              </w:rPr>
              <w:t xml:space="preserve">w zakresie e-zdrowia.  </w:t>
            </w:r>
          </w:p>
          <w:p w14:paraId="6ED5F341" w14:textId="77777777" w:rsidR="00E941F4" w:rsidRPr="00CE763A" w:rsidRDefault="00E941F4" w:rsidP="000E0704">
            <w:pPr>
              <w:autoSpaceDE w:val="0"/>
              <w:autoSpaceDN w:val="0"/>
              <w:adjustRightInd w:val="0"/>
              <w:rPr>
                <w:rFonts w:ascii="Calibri" w:eastAsia="MS Mincho" w:hAnsi="Calibri" w:cs="Calibri"/>
                <w:kern w:val="0"/>
                <w14:ligatures w14:val="none"/>
              </w:rPr>
            </w:pPr>
          </w:p>
          <w:p w14:paraId="53315FEB" w14:textId="780DF9DC" w:rsidR="00714263" w:rsidRDefault="00E1246B" w:rsidP="000E0704">
            <w:pPr>
              <w:autoSpaceDE w:val="0"/>
              <w:autoSpaceDN w:val="0"/>
              <w:adjustRightInd w:val="0"/>
              <w:rPr>
                <w:rFonts w:ascii="Calibri" w:eastAsia="MS Mincho" w:hAnsi="Calibri" w:cs="Calibri"/>
                <w:kern w:val="0"/>
                <w:sz w:val="20"/>
                <w:szCs w:val="20"/>
                <w:vertAlign w:val="superscript"/>
                <w14:ligatures w14:val="none"/>
              </w:rPr>
            </w:pPr>
            <w:r w:rsidRPr="00CE763A">
              <w:rPr>
                <w:rFonts w:ascii="Symbol" w:eastAsia="MS Mincho" w:hAnsi="Symbol" w:cs="Calibri"/>
                <w:kern w:val="0"/>
                <w:sz w:val="20"/>
                <w:szCs w:val="20"/>
                <w:vertAlign w:val="superscript"/>
                <w14:ligatures w14:val="none"/>
              </w:rPr>
              <w:t xml:space="preserve">*  </w:t>
            </w:r>
            <w:r w:rsidR="000E0704" w:rsidRPr="00CE763A">
              <w:rPr>
                <w:rFonts w:ascii="Calibri" w:eastAsia="MS Mincho" w:hAnsi="Calibri" w:cs="Calibri"/>
                <w:kern w:val="0"/>
                <w:sz w:val="20"/>
                <w:szCs w:val="20"/>
                <w:vertAlign w:val="superscript"/>
                <w14:ligatures w14:val="none"/>
              </w:rPr>
              <w:t>Opinia ta dotyczy projektów z zakresu e-zdrowia i/lub telemedycyny realizowanych w ramach wszystkich celów szczegółowych.</w:t>
            </w:r>
          </w:p>
          <w:p w14:paraId="2BB36F98" w14:textId="4B375260" w:rsidR="000E0704" w:rsidRPr="000E0704" w:rsidRDefault="000E0704" w:rsidP="000E0704">
            <w:pPr>
              <w:autoSpaceDE w:val="0"/>
              <w:autoSpaceDN w:val="0"/>
              <w:adjustRightInd w:val="0"/>
              <w:rPr>
                <w:rFonts w:ascii="Calibri" w:eastAsia="MS Mincho" w:hAnsi="Calibri" w:cs="Calibri"/>
                <w:kern w:val="0"/>
                <w:sz w:val="20"/>
                <w:szCs w:val="20"/>
                <w:vertAlign w:val="superscript"/>
                <w14:ligatures w14:val="none"/>
              </w:rPr>
            </w:pPr>
            <w:r w:rsidRPr="00CE763A">
              <w:rPr>
                <w:rFonts w:ascii="Calibri" w:eastAsia="MS Mincho" w:hAnsi="Calibri" w:cs="Calibri"/>
                <w:kern w:val="0"/>
                <w:sz w:val="20"/>
                <w:szCs w:val="20"/>
                <w:vertAlign w:val="superscript"/>
                <w14:ligatures w14:val="none"/>
              </w:rPr>
              <w:t>Opinia  jest ważna 24 miesiące od dnia jej wydania.</w:t>
            </w:r>
            <w:r w:rsidRPr="00CE763A">
              <w:rPr>
                <w:rFonts w:ascii="Calibri" w:eastAsia="MS Mincho" w:hAnsi="Calibri" w:cs="Calibri"/>
                <w:color w:val="000000"/>
                <w:kern w:val="0"/>
                <w:sz w:val="24"/>
                <w:szCs w:val="24"/>
                <w14:ligatures w14:val="none"/>
              </w:rPr>
              <w:t xml:space="preserve"> </w:t>
            </w:r>
            <w:r w:rsidRPr="00CE763A">
              <w:rPr>
                <w:rFonts w:ascii="Calibri" w:eastAsia="MS Mincho" w:hAnsi="Calibri" w:cs="Calibri"/>
                <w:kern w:val="0"/>
                <w:sz w:val="20"/>
                <w:szCs w:val="20"/>
                <w:vertAlign w:val="superscript"/>
                <w14:ligatures w14:val="none"/>
              </w:rPr>
              <w:t>W przypadku projektów wybieranych w sposób niekonkurencyjny posiadanie opinii weryfikowane jest na etapie złożenia Planu działań.</w:t>
            </w:r>
          </w:p>
          <w:p w14:paraId="729E7A36" w14:textId="5D5500D3" w:rsidR="00700D22" w:rsidRPr="000E0704" w:rsidRDefault="000E0704" w:rsidP="00E14C2F">
            <w:pPr>
              <w:spacing w:line="276" w:lineRule="auto"/>
              <w:rPr>
                <w:rFonts w:ascii="Calibri" w:eastAsia="Calibri" w:hAnsi="Calibri" w:cs="Times New Roman"/>
                <w:kern w:val="0"/>
                <w14:ligatures w14:val="none"/>
              </w:rPr>
            </w:pPr>
            <w:r w:rsidRPr="000E0704">
              <w:rPr>
                <w:rFonts w:ascii="Calibri" w:eastAsia="Calibri" w:hAnsi="Calibri" w:cs="Calibri"/>
                <w:kern w:val="0"/>
                <w14:ligatures w14:val="none"/>
              </w:rPr>
              <w:t>Spełnienie kryterium weryfikowane będzie na podstawie dokumentacji składanej wraz z wnioskiem o dofinansowanie projektu</w:t>
            </w:r>
            <w:r w:rsidR="008C1B51">
              <w:rPr>
                <w:rFonts w:ascii="Calibri" w:eastAsia="Calibri" w:hAnsi="Calibri" w:cs="Calibri"/>
                <w:kern w:val="0"/>
                <w14:ligatures w14:val="none"/>
              </w:rPr>
              <w:t>.</w:t>
            </w:r>
          </w:p>
        </w:tc>
        <w:tc>
          <w:tcPr>
            <w:tcW w:w="1701" w:type="dxa"/>
          </w:tcPr>
          <w:p w14:paraId="44C3695F" w14:textId="052141EB" w:rsidR="00941BB7" w:rsidRPr="00631C36" w:rsidRDefault="00941BB7" w:rsidP="00941BB7">
            <w:pPr>
              <w:pStyle w:val="Default"/>
              <w:jc w:val="center"/>
            </w:pPr>
            <w:r w:rsidRPr="00DA193B">
              <w:rPr>
                <w:rFonts w:asciiTheme="minorHAnsi" w:hAnsiTheme="minorHAnsi" w:cstheme="minorHAnsi"/>
                <w:color w:val="auto"/>
                <w:sz w:val="22"/>
                <w:szCs w:val="22"/>
              </w:rPr>
              <w:t>0/1</w:t>
            </w:r>
          </w:p>
        </w:tc>
        <w:tc>
          <w:tcPr>
            <w:tcW w:w="1417" w:type="dxa"/>
          </w:tcPr>
          <w:p w14:paraId="17AE2FD1" w14:textId="67EA81DA" w:rsidR="00941BB7" w:rsidRPr="00631C36" w:rsidRDefault="00941BB7" w:rsidP="00941BB7">
            <w:pPr>
              <w:pStyle w:val="Default"/>
              <w:jc w:val="center"/>
            </w:pPr>
            <w:r w:rsidRPr="00DA193B">
              <w:rPr>
                <w:rFonts w:asciiTheme="minorHAnsi" w:hAnsiTheme="minorHAnsi" w:cstheme="minorHAnsi"/>
                <w:color w:val="auto"/>
                <w:sz w:val="22"/>
                <w:szCs w:val="22"/>
              </w:rPr>
              <w:t>Tak</w:t>
            </w:r>
          </w:p>
        </w:tc>
      </w:tr>
      <w:tr w:rsidR="00B84F1A" w:rsidRPr="00DA193B" w14:paraId="352E69F0" w14:textId="77777777" w:rsidTr="00DC77CC">
        <w:trPr>
          <w:trHeight w:val="699"/>
        </w:trPr>
        <w:tc>
          <w:tcPr>
            <w:tcW w:w="524" w:type="dxa"/>
          </w:tcPr>
          <w:p w14:paraId="12A727DE" w14:textId="44DCE8F8" w:rsidR="00B84F1A" w:rsidRPr="0055598C" w:rsidRDefault="00941BB7" w:rsidP="00B84F1A">
            <w:pPr>
              <w:pStyle w:val="Default"/>
              <w:rPr>
                <w:rFonts w:asciiTheme="minorHAnsi" w:hAnsiTheme="minorHAnsi" w:cstheme="minorHAnsi"/>
                <w:b/>
                <w:bCs/>
                <w:color w:val="FF0000"/>
                <w:sz w:val="22"/>
                <w:szCs w:val="22"/>
              </w:rPr>
            </w:pPr>
            <w:r w:rsidRPr="0055598C">
              <w:rPr>
                <w:rFonts w:asciiTheme="minorHAnsi" w:hAnsiTheme="minorHAnsi" w:cstheme="minorHAnsi"/>
                <w:b/>
                <w:bCs/>
                <w:color w:val="auto"/>
                <w:sz w:val="22"/>
                <w:szCs w:val="22"/>
              </w:rPr>
              <w:t>5</w:t>
            </w:r>
            <w:r w:rsidR="00B84F1A" w:rsidRPr="0055598C">
              <w:rPr>
                <w:rFonts w:asciiTheme="minorHAnsi" w:hAnsiTheme="minorHAnsi" w:cstheme="minorHAnsi"/>
                <w:b/>
                <w:bCs/>
                <w:color w:val="auto"/>
                <w:sz w:val="22"/>
                <w:szCs w:val="22"/>
              </w:rPr>
              <w:t>.</w:t>
            </w:r>
          </w:p>
        </w:tc>
        <w:tc>
          <w:tcPr>
            <w:tcW w:w="3724" w:type="dxa"/>
          </w:tcPr>
          <w:p w14:paraId="31B119D6" w14:textId="0FDAB1BC" w:rsidR="00B84F1A" w:rsidRPr="00714263" w:rsidRDefault="00543298" w:rsidP="00E33902">
            <w:pPr>
              <w:pStyle w:val="Default"/>
              <w:rPr>
                <w:rFonts w:asciiTheme="minorHAnsi" w:hAnsiTheme="minorHAnsi" w:cstheme="minorHAnsi"/>
                <w:b/>
                <w:bCs/>
                <w:color w:val="auto"/>
                <w:sz w:val="22"/>
                <w:szCs w:val="22"/>
              </w:rPr>
            </w:pPr>
            <w:r w:rsidRPr="00714263">
              <w:rPr>
                <w:rFonts w:asciiTheme="minorHAnsi" w:hAnsiTheme="minorHAnsi" w:cstheme="minorHAnsi"/>
                <w:b/>
                <w:bCs/>
                <w:color w:val="auto"/>
                <w:sz w:val="22"/>
                <w:szCs w:val="22"/>
              </w:rPr>
              <w:t xml:space="preserve">Projekt posiada pozytywną opinię o celowości inwestycji (OCI) </w:t>
            </w:r>
            <w:r w:rsidRPr="00714263">
              <w:rPr>
                <w:rFonts w:asciiTheme="minorHAnsi" w:hAnsiTheme="minorHAnsi" w:cstheme="minorHAnsi"/>
                <w:b/>
                <w:bCs/>
                <w:i/>
                <w:iCs/>
                <w:color w:val="auto"/>
                <w:sz w:val="22"/>
                <w:szCs w:val="22"/>
              </w:rPr>
              <w:t>(jeśli dotyczy)</w:t>
            </w:r>
          </w:p>
        </w:tc>
        <w:tc>
          <w:tcPr>
            <w:tcW w:w="7371" w:type="dxa"/>
          </w:tcPr>
          <w:p w14:paraId="424B6F79" w14:textId="75212D33" w:rsidR="00F24D28" w:rsidRPr="00714263" w:rsidRDefault="00F24D28" w:rsidP="00F24D28">
            <w:pPr>
              <w:tabs>
                <w:tab w:val="left" w:pos="2070"/>
              </w:tabs>
              <w:jc w:val="both"/>
              <w:rPr>
                <w:rFonts w:eastAsia="Calibri" w:cstheme="minorHAnsi"/>
                <w:kern w:val="0"/>
                <w14:ligatures w14:val="none"/>
              </w:rPr>
            </w:pPr>
            <w:r w:rsidRPr="00714263">
              <w:rPr>
                <w:rFonts w:eastAsia="Calibri" w:cstheme="minorHAnsi"/>
                <w:kern w:val="0"/>
                <w14:ligatures w14:val="none"/>
              </w:rPr>
              <w:t xml:space="preserve">W ramach kryterium, ocenie podlegać będzie, czy wnioskodawca załączył do wniosku uzyskaną przez partnera/partnerów pozytywną/e opinię/e wojewody o celowości inwestycji (OCI), </w:t>
            </w:r>
            <w:r w:rsidRPr="0072635D">
              <w:rPr>
                <w:rFonts w:eastAsia="Calibri" w:cstheme="minorHAnsi"/>
                <w:i/>
                <w:iCs/>
                <w:kern w:val="0"/>
                <w14:ligatures w14:val="none"/>
              </w:rPr>
              <w:t>o ile dotyczy</w:t>
            </w:r>
            <w:r w:rsidRPr="00714263">
              <w:rPr>
                <w:rFonts w:eastAsia="Calibri" w:cstheme="minorHAnsi"/>
                <w:kern w:val="0"/>
                <w14:ligatures w14:val="none"/>
              </w:rPr>
              <w:t>, tzn. w przypadkach określonych w ustawie z dnia 27 sierpnia 2004 r. o świadczeniach opieki zdrowotnej finansowanych ze środków publicznych (Dz.U. z 2024 r. poz. 146</w:t>
            </w:r>
            <w:r w:rsidR="00652F42" w:rsidRPr="00714263">
              <w:rPr>
                <w:rFonts w:eastAsia="Calibri" w:cstheme="minorHAnsi"/>
                <w:kern w:val="0"/>
                <w14:ligatures w14:val="none"/>
              </w:rPr>
              <w:t xml:space="preserve"> </w:t>
            </w:r>
            <w:r w:rsidRPr="00714263">
              <w:rPr>
                <w:rFonts w:eastAsia="Calibri" w:cstheme="minorHAnsi"/>
                <w:kern w:val="0"/>
                <w14:ligatures w14:val="none"/>
              </w:rPr>
              <w:t xml:space="preserve">z </w:t>
            </w:r>
            <w:proofErr w:type="spellStart"/>
            <w:r w:rsidRPr="00714263">
              <w:rPr>
                <w:rFonts w:eastAsia="Calibri" w:cstheme="minorHAnsi"/>
                <w:kern w:val="0"/>
                <w14:ligatures w14:val="none"/>
              </w:rPr>
              <w:t>późn</w:t>
            </w:r>
            <w:proofErr w:type="spellEnd"/>
            <w:r w:rsidRPr="00714263">
              <w:rPr>
                <w:rFonts w:eastAsia="Calibri" w:cstheme="minorHAnsi"/>
                <w:kern w:val="0"/>
                <w14:ligatures w14:val="none"/>
              </w:rPr>
              <w:t>. zm.).</w:t>
            </w:r>
          </w:p>
          <w:p w14:paraId="63005F21" w14:textId="77777777" w:rsidR="00F24D28" w:rsidRPr="00714263" w:rsidRDefault="00F24D28" w:rsidP="00F24D28">
            <w:pPr>
              <w:tabs>
                <w:tab w:val="left" w:pos="2070"/>
              </w:tabs>
              <w:jc w:val="both"/>
              <w:rPr>
                <w:rFonts w:eastAsia="Calibri" w:cstheme="minorHAnsi"/>
                <w:kern w:val="0"/>
                <w14:ligatures w14:val="none"/>
              </w:rPr>
            </w:pPr>
            <w:r w:rsidRPr="00714263">
              <w:rPr>
                <w:rFonts w:eastAsia="Calibri" w:cstheme="minorHAnsi"/>
                <w:kern w:val="0"/>
                <w14:ligatures w14:val="none"/>
              </w:rPr>
              <w:t>Podmiotem uprawnionym i zarazem zobligowanym do wystąpienia z wnioskiem o wydanie OCI jest każdy partner projektu, który będzie realizował inwestycję o wartości kosztorysowej powyżej 2 mln zł.</w:t>
            </w:r>
          </w:p>
          <w:p w14:paraId="204E5D97" w14:textId="77777777" w:rsidR="00F24D28" w:rsidRPr="00714263" w:rsidRDefault="00F24D28" w:rsidP="00F24D28">
            <w:pPr>
              <w:tabs>
                <w:tab w:val="left" w:pos="2070"/>
              </w:tabs>
              <w:jc w:val="both"/>
              <w:rPr>
                <w:rFonts w:eastAsia="Calibri" w:cstheme="minorHAnsi"/>
                <w:kern w:val="0"/>
                <w14:ligatures w14:val="none"/>
              </w:rPr>
            </w:pPr>
          </w:p>
          <w:p w14:paraId="24F8D767" w14:textId="77777777" w:rsidR="008D1513" w:rsidRPr="00714263" w:rsidRDefault="00F24D28" w:rsidP="00F24D28">
            <w:pPr>
              <w:tabs>
                <w:tab w:val="left" w:pos="2070"/>
              </w:tabs>
              <w:jc w:val="both"/>
              <w:rPr>
                <w:rFonts w:eastAsia="Calibri" w:cstheme="minorHAnsi"/>
                <w:kern w:val="0"/>
                <w14:ligatures w14:val="none"/>
              </w:rPr>
            </w:pPr>
            <w:r w:rsidRPr="00714263">
              <w:rPr>
                <w:rFonts w:eastAsia="Calibri" w:cstheme="minorHAnsi"/>
                <w:kern w:val="0"/>
                <w14:ligatures w14:val="none"/>
              </w:rPr>
              <w:lastRenderedPageBreak/>
              <w:t>Kryterium weryfikowane na podstawie pozytywnej opinii wojewody o celowości inwestycji, o której mowa ww. ustawie i zapisów wniosku o dofinansowanie.</w:t>
            </w:r>
          </w:p>
          <w:p w14:paraId="7238E455" w14:textId="153979C9" w:rsidR="00700D22" w:rsidRPr="00714263" w:rsidRDefault="00700D22" w:rsidP="00F24D28">
            <w:pPr>
              <w:tabs>
                <w:tab w:val="left" w:pos="2070"/>
              </w:tabs>
              <w:jc w:val="both"/>
              <w:rPr>
                <w:rFonts w:eastAsia="Calibri" w:cstheme="minorHAnsi"/>
                <w:kern w:val="0"/>
                <w14:ligatures w14:val="none"/>
              </w:rPr>
            </w:pPr>
          </w:p>
        </w:tc>
        <w:tc>
          <w:tcPr>
            <w:tcW w:w="1701" w:type="dxa"/>
          </w:tcPr>
          <w:p w14:paraId="0B9C768F" w14:textId="068947FA" w:rsidR="00B84F1A" w:rsidRPr="00400195" w:rsidRDefault="00B84F1A" w:rsidP="00B84F1A">
            <w:pPr>
              <w:pStyle w:val="Default"/>
              <w:jc w:val="center"/>
              <w:rPr>
                <w:rFonts w:asciiTheme="minorHAnsi" w:hAnsiTheme="minorHAnsi" w:cstheme="minorHAnsi"/>
                <w:color w:val="auto"/>
                <w:sz w:val="22"/>
                <w:szCs w:val="22"/>
              </w:rPr>
            </w:pPr>
            <w:r w:rsidRPr="00714263">
              <w:rPr>
                <w:color w:val="auto"/>
              </w:rPr>
              <w:lastRenderedPageBreak/>
              <w:t>0/1</w:t>
            </w:r>
          </w:p>
        </w:tc>
        <w:tc>
          <w:tcPr>
            <w:tcW w:w="1417" w:type="dxa"/>
          </w:tcPr>
          <w:p w14:paraId="0C7D1229" w14:textId="4440A45F" w:rsidR="00B84F1A" w:rsidRPr="00DA193B" w:rsidRDefault="00B84F1A" w:rsidP="00B84F1A">
            <w:pPr>
              <w:pStyle w:val="Default"/>
              <w:jc w:val="center"/>
              <w:rPr>
                <w:rFonts w:asciiTheme="minorHAnsi" w:hAnsiTheme="minorHAnsi" w:cstheme="minorHAnsi"/>
                <w:color w:val="auto"/>
                <w:sz w:val="22"/>
                <w:szCs w:val="22"/>
              </w:rPr>
            </w:pPr>
            <w:r w:rsidRPr="00631C36">
              <w:t>Tak</w:t>
            </w:r>
          </w:p>
        </w:tc>
      </w:tr>
      <w:tr w:rsidR="006848D0" w:rsidRPr="00DA193B" w14:paraId="2C43F6CD" w14:textId="77777777" w:rsidTr="00FE48A9">
        <w:tc>
          <w:tcPr>
            <w:tcW w:w="524" w:type="dxa"/>
          </w:tcPr>
          <w:p w14:paraId="390D40A4" w14:textId="0810296E" w:rsidR="006848D0" w:rsidRPr="0055598C" w:rsidRDefault="006848D0" w:rsidP="006848D0">
            <w:pPr>
              <w:rPr>
                <w:rFonts w:cstheme="minorHAnsi"/>
                <w:b/>
                <w:bCs/>
              </w:rPr>
            </w:pPr>
            <w:r w:rsidRPr="0055598C">
              <w:rPr>
                <w:rFonts w:cstheme="minorHAnsi"/>
                <w:b/>
                <w:bCs/>
              </w:rPr>
              <w:t>6.</w:t>
            </w:r>
          </w:p>
        </w:tc>
        <w:tc>
          <w:tcPr>
            <w:tcW w:w="3724" w:type="dxa"/>
          </w:tcPr>
          <w:p w14:paraId="4C7592F8" w14:textId="012731D2" w:rsidR="006848D0" w:rsidRPr="00DA193B" w:rsidRDefault="006848D0" w:rsidP="006848D0">
            <w:pPr>
              <w:rPr>
                <w:rFonts w:cstheme="minorHAnsi"/>
                <w:b/>
                <w:bCs/>
              </w:rPr>
            </w:pPr>
            <w:r w:rsidRPr="006848D0">
              <w:rPr>
                <w:rFonts w:cstheme="minorHAnsi"/>
                <w:b/>
                <w:bCs/>
              </w:rPr>
              <w:t>Projekt wpisuje się w cele zdefiniowane w dokumencie „Zdrowa przyszłość. Ramy Strategiczne Rozwoju Systemu Ochrony Zdrowia na lata 2021-2027 z perspektywą do 2030 r.</w:t>
            </w:r>
          </w:p>
        </w:tc>
        <w:tc>
          <w:tcPr>
            <w:tcW w:w="7371" w:type="dxa"/>
          </w:tcPr>
          <w:p w14:paraId="4B4A7E71" w14:textId="77777777" w:rsidR="006848D0" w:rsidRDefault="006848D0" w:rsidP="006848D0">
            <w:pPr>
              <w:rPr>
                <w:rFonts w:cs="Calibri"/>
              </w:rPr>
            </w:pPr>
            <w:r>
              <w:rPr>
                <w:rFonts w:cs="Calibri"/>
              </w:rPr>
              <w:t>W ramach kryterium weryfikowane będzie czy projekt wpisuje się w cele zdefiniowane w dokumencie „Zdrowa przyszłość. Ramy Strategiczne Rozwoju Systemu Ochrony Zdrowia na lata 2021-2027 z perspektywą do 2030 r.)*:</w:t>
            </w:r>
          </w:p>
          <w:p w14:paraId="03E194BD" w14:textId="77777777" w:rsidR="006848D0" w:rsidRDefault="006848D0" w:rsidP="006848D0">
            <w:pPr>
              <w:rPr>
                <w:rFonts w:cs="Calibri"/>
              </w:rPr>
            </w:pPr>
            <w:r>
              <w:rPr>
                <w:rFonts w:cs="Calibri"/>
              </w:rPr>
              <w:t>−Cel 3.4 [e-Zdrowie] Rozwój i upowszechnianie usług cyfrowych e-zdrowia.</w:t>
            </w:r>
          </w:p>
          <w:p w14:paraId="0013C86B" w14:textId="77777777" w:rsidR="006848D0" w:rsidRDefault="006848D0" w:rsidP="006848D0">
            <w:pPr>
              <w:rPr>
                <w:rFonts w:cs="Calibri"/>
              </w:rPr>
            </w:pPr>
            <w:r>
              <w:rPr>
                <w:rFonts w:cs="Calibri"/>
              </w:rPr>
              <w:t xml:space="preserve">Kryterium zostanie uznane za spełnione, jeżeli realizacja projektu stanowi odpowiedź na w/w cele. </w:t>
            </w:r>
          </w:p>
          <w:p w14:paraId="11FC555D" w14:textId="77777777" w:rsidR="006848D0" w:rsidRDefault="006848D0" w:rsidP="006848D0">
            <w:pPr>
              <w:rPr>
                <w:rFonts w:cs="Calibri"/>
              </w:rPr>
            </w:pPr>
          </w:p>
          <w:p w14:paraId="186395E0" w14:textId="77777777" w:rsidR="006848D0" w:rsidRDefault="006848D0" w:rsidP="006848D0">
            <w:pPr>
              <w:rPr>
                <w:rFonts w:cs="Calibri"/>
                <w:vertAlign w:val="superscript"/>
              </w:rPr>
            </w:pPr>
            <w:r>
              <w:rPr>
                <w:rFonts w:cs="Calibri"/>
                <w:vertAlign w:val="superscript"/>
              </w:rPr>
              <w:t>* Zdrowa przyszłość. Ramy Strategiczne Rozwoju Sytemu Ochrony Zdrowia na lata 2021-2027 z perspektywą do 2030 r. przyjęte uchwałą nr 196/2021 Rady Ministrów z dnia 27 grudnia 2021 r., dokument dostępny pod adresem:</w:t>
            </w:r>
            <w:r>
              <w:rPr>
                <w:rFonts w:cs="Calibri"/>
              </w:rPr>
              <w:t xml:space="preserve"> </w:t>
            </w:r>
            <w:hyperlink r:id="rId11" w:history="1">
              <w:r>
                <w:rPr>
                  <w:rStyle w:val="Hipercze"/>
                  <w:rFonts w:cs="Calibri"/>
                  <w:vertAlign w:val="superscript"/>
                </w:rPr>
                <w:t>https://www.gov.pl/web/zdrowie/zdrowa-przyszlosc-ramy-strategiczne-rozwoju-systemu-ochrony-zdrowia-na-lata-2021-2027-z-perspektywa-do-2030</w:t>
              </w:r>
            </w:hyperlink>
          </w:p>
          <w:p w14:paraId="3F795F47" w14:textId="77777777" w:rsidR="006848D0" w:rsidRDefault="006848D0" w:rsidP="006848D0">
            <w:pPr>
              <w:rPr>
                <w:rFonts w:cs="Calibri"/>
              </w:rPr>
            </w:pPr>
          </w:p>
          <w:p w14:paraId="4D12D7E0" w14:textId="18875542" w:rsidR="006848D0" w:rsidRDefault="006848D0" w:rsidP="006848D0">
            <w:pPr>
              <w:rPr>
                <w:rFonts w:cs="Calibri"/>
              </w:rPr>
            </w:pPr>
            <w:r>
              <w:rPr>
                <w:rFonts w:cs="Calibri"/>
              </w:rPr>
              <w:t>Spełnienie kryterium weryfikowane będzie na podstawie zapisów wniosku o dofinansowanie projektu oraz dokumentacji składanej wraz z wnioskiem o dofinansowanie projektu</w:t>
            </w:r>
            <w:r w:rsidR="00E41176">
              <w:rPr>
                <w:rFonts w:cs="Calibri"/>
              </w:rPr>
              <w:t xml:space="preserve">. </w:t>
            </w:r>
          </w:p>
          <w:p w14:paraId="55940132" w14:textId="2E48F138" w:rsidR="00700D22" w:rsidRPr="00DA193B" w:rsidRDefault="00700D22" w:rsidP="006848D0">
            <w:pPr>
              <w:rPr>
                <w:rFonts w:cstheme="minorHAnsi"/>
              </w:rPr>
            </w:pPr>
          </w:p>
        </w:tc>
        <w:tc>
          <w:tcPr>
            <w:tcW w:w="1701" w:type="dxa"/>
          </w:tcPr>
          <w:p w14:paraId="29FEB17C" w14:textId="17BE67E5" w:rsidR="006848D0" w:rsidRPr="00DA193B" w:rsidRDefault="006848D0" w:rsidP="006848D0">
            <w:pPr>
              <w:jc w:val="center"/>
              <w:rPr>
                <w:rFonts w:cstheme="minorHAnsi"/>
              </w:rPr>
            </w:pPr>
            <w:r w:rsidRPr="00DA193B">
              <w:rPr>
                <w:rFonts w:cstheme="minorHAnsi"/>
              </w:rPr>
              <w:t>0/1</w:t>
            </w:r>
          </w:p>
        </w:tc>
        <w:tc>
          <w:tcPr>
            <w:tcW w:w="1417" w:type="dxa"/>
          </w:tcPr>
          <w:p w14:paraId="2AEB9F1D" w14:textId="7EA4780E" w:rsidR="006848D0" w:rsidRPr="00DA193B" w:rsidRDefault="006848D0" w:rsidP="006848D0">
            <w:pPr>
              <w:jc w:val="center"/>
              <w:rPr>
                <w:rFonts w:cstheme="minorHAnsi"/>
              </w:rPr>
            </w:pPr>
            <w:r w:rsidRPr="00DA193B">
              <w:rPr>
                <w:rFonts w:cstheme="minorHAnsi"/>
              </w:rPr>
              <w:t>Tak</w:t>
            </w:r>
          </w:p>
        </w:tc>
      </w:tr>
      <w:tr w:rsidR="006848D0" w:rsidRPr="00DA193B" w14:paraId="1D3FAFC9" w14:textId="77777777" w:rsidTr="00FE48A9">
        <w:tc>
          <w:tcPr>
            <w:tcW w:w="524" w:type="dxa"/>
          </w:tcPr>
          <w:p w14:paraId="3C0E0F48" w14:textId="21315AAF" w:rsidR="006848D0" w:rsidRPr="0055598C" w:rsidRDefault="006848D0" w:rsidP="006848D0">
            <w:pPr>
              <w:rPr>
                <w:rFonts w:cstheme="minorHAnsi"/>
                <w:b/>
                <w:bCs/>
              </w:rPr>
            </w:pPr>
            <w:r w:rsidRPr="0055598C">
              <w:rPr>
                <w:rFonts w:cstheme="minorHAnsi"/>
                <w:b/>
                <w:bCs/>
              </w:rPr>
              <w:t>7.</w:t>
            </w:r>
          </w:p>
        </w:tc>
        <w:tc>
          <w:tcPr>
            <w:tcW w:w="3724" w:type="dxa"/>
          </w:tcPr>
          <w:p w14:paraId="026D0C5C" w14:textId="352463C6" w:rsidR="006848D0" w:rsidRPr="00DA193B" w:rsidRDefault="00B21577" w:rsidP="006848D0">
            <w:pPr>
              <w:rPr>
                <w:rFonts w:cstheme="minorHAnsi"/>
                <w:b/>
                <w:bCs/>
              </w:rPr>
            </w:pPr>
            <w:r w:rsidRPr="00B21577">
              <w:rPr>
                <w:rFonts w:cstheme="minorHAnsi"/>
                <w:b/>
                <w:bCs/>
              </w:rPr>
              <w:t>Projekt jest zgodny z Wojewódzkim Planem Transformacji województwa mazowieckiego na lata 2022-2026</w:t>
            </w:r>
          </w:p>
        </w:tc>
        <w:tc>
          <w:tcPr>
            <w:tcW w:w="7371" w:type="dxa"/>
          </w:tcPr>
          <w:p w14:paraId="4EFC9649" w14:textId="77777777" w:rsidR="00B21577" w:rsidRPr="00B21577" w:rsidRDefault="00B21577" w:rsidP="00B21577">
            <w:pPr>
              <w:rPr>
                <w:rFonts w:cstheme="minorHAnsi"/>
              </w:rPr>
            </w:pPr>
            <w:r w:rsidRPr="00B21577">
              <w:rPr>
                <w:rFonts w:cstheme="minorHAnsi"/>
              </w:rPr>
              <w:t>W ramach kryterium weryfikowane będzie, czy realizacja projektu jest zgodna z rekomendacją Wojewódzkiego Planu Transformacji dla województwa mazowieckiego na lata 2022-2026 , w wersji obowiązującej na dzień ogłoszenia naboru, pn.: Inwestycje w</w:t>
            </w:r>
          </w:p>
          <w:p w14:paraId="333A4A96" w14:textId="77777777" w:rsidR="006848D0" w:rsidRDefault="00B21577" w:rsidP="00B21577">
            <w:pPr>
              <w:rPr>
                <w:rFonts w:cstheme="minorHAnsi"/>
              </w:rPr>
            </w:pPr>
            <w:r w:rsidRPr="00B21577">
              <w:rPr>
                <w:rFonts w:cstheme="minorHAnsi"/>
              </w:rPr>
              <w:t xml:space="preserve">zakresie informatyzacji podmiotów leczniczych poprzez wprowadzenie nowych usług cyfrowych w ochronie zdrowia oraz dalszy rozwój istniejących rozwiązań cyfrowych w szczególności narzędzia wspomagające analizę stanu zdrowia, cyfryzacja dokumentacji, </w:t>
            </w:r>
            <w:proofErr w:type="spellStart"/>
            <w:r w:rsidRPr="00B21577">
              <w:rPr>
                <w:rFonts w:cstheme="minorHAnsi"/>
              </w:rPr>
              <w:t>cyberbezpieczeństwo</w:t>
            </w:r>
            <w:proofErr w:type="spellEnd"/>
            <w:r>
              <w:rPr>
                <w:rFonts w:cstheme="minorHAnsi"/>
              </w:rPr>
              <w:t>.</w:t>
            </w:r>
          </w:p>
          <w:p w14:paraId="2C7FD8AD" w14:textId="42EEF796" w:rsidR="00700D22" w:rsidRPr="00DA193B" w:rsidRDefault="00700D22" w:rsidP="00B21577">
            <w:pPr>
              <w:rPr>
                <w:rFonts w:cstheme="minorHAnsi"/>
              </w:rPr>
            </w:pPr>
          </w:p>
        </w:tc>
        <w:tc>
          <w:tcPr>
            <w:tcW w:w="1701" w:type="dxa"/>
          </w:tcPr>
          <w:p w14:paraId="3FA8219E" w14:textId="0DF3BDB9" w:rsidR="006848D0" w:rsidRPr="00DA193B" w:rsidRDefault="006848D0" w:rsidP="006848D0">
            <w:pPr>
              <w:jc w:val="center"/>
              <w:rPr>
                <w:rFonts w:cstheme="minorHAnsi"/>
              </w:rPr>
            </w:pPr>
            <w:r w:rsidRPr="00DA193B">
              <w:rPr>
                <w:rFonts w:cstheme="minorHAnsi"/>
              </w:rPr>
              <w:t>0/1</w:t>
            </w:r>
          </w:p>
        </w:tc>
        <w:tc>
          <w:tcPr>
            <w:tcW w:w="1417" w:type="dxa"/>
          </w:tcPr>
          <w:p w14:paraId="301E80CB" w14:textId="5AC20F8A" w:rsidR="006848D0" w:rsidRPr="00DA193B" w:rsidRDefault="006848D0" w:rsidP="006848D0">
            <w:pPr>
              <w:jc w:val="center"/>
              <w:rPr>
                <w:rFonts w:cstheme="minorHAnsi"/>
              </w:rPr>
            </w:pPr>
            <w:r w:rsidRPr="00DA193B">
              <w:rPr>
                <w:rFonts w:cstheme="minorHAnsi"/>
              </w:rPr>
              <w:t>Tak</w:t>
            </w:r>
          </w:p>
        </w:tc>
      </w:tr>
      <w:tr w:rsidR="00C86FCA" w:rsidRPr="00DA193B" w14:paraId="63E91F9B" w14:textId="77777777" w:rsidTr="00FE48A9">
        <w:tc>
          <w:tcPr>
            <w:tcW w:w="524" w:type="dxa"/>
          </w:tcPr>
          <w:p w14:paraId="0CBE984C" w14:textId="67896540" w:rsidR="00C86FCA" w:rsidRPr="0055598C" w:rsidRDefault="00C86FCA" w:rsidP="00C86FCA">
            <w:pPr>
              <w:rPr>
                <w:rFonts w:cstheme="minorHAnsi"/>
                <w:b/>
                <w:bCs/>
              </w:rPr>
            </w:pPr>
            <w:r w:rsidRPr="0055598C">
              <w:rPr>
                <w:rFonts w:cstheme="minorHAnsi"/>
                <w:b/>
                <w:bCs/>
              </w:rPr>
              <w:t>8.</w:t>
            </w:r>
          </w:p>
        </w:tc>
        <w:tc>
          <w:tcPr>
            <w:tcW w:w="3724" w:type="dxa"/>
          </w:tcPr>
          <w:p w14:paraId="06E555FB" w14:textId="7C66A576" w:rsidR="00C86FCA" w:rsidRPr="00DA193B" w:rsidRDefault="00C86FCA" w:rsidP="00C86FCA">
            <w:pPr>
              <w:rPr>
                <w:rFonts w:cstheme="minorHAnsi"/>
                <w:b/>
                <w:bCs/>
              </w:rPr>
            </w:pPr>
            <w:r w:rsidRPr="00C86FCA">
              <w:rPr>
                <w:rFonts w:cstheme="minorHAnsi"/>
                <w:b/>
                <w:bCs/>
              </w:rPr>
              <w:t>Zgodność z celami i kierunkami działań</w:t>
            </w:r>
          </w:p>
        </w:tc>
        <w:tc>
          <w:tcPr>
            <w:tcW w:w="7371" w:type="dxa"/>
          </w:tcPr>
          <w:p w14:paraId="407687B4" w14:textId="77777777" w:rsidR="00C86FCA" w:rsidRPr="00767F3C" w:rsidRDefault="00C86FCA" w:rsidP="00C86FCA">
            <w:pPr>
              <w:rPr>
                <w:rFonts w:cstheme="minorHAnsi"/>
              </w:rPr>
            </w:pPr>
            <w:r w:rsidRPr="00767F3C">
              <w:rPr>
                <w:rFonts w:cstheme="minorHAnsi"/>
              </w:rPr>
              <w:t>W ramach kryterium weryfikowana będzie zgodność z:</w:t>
            </w:r>
          </w:p>
          <w:p w14:paraId="1E40DCA9" w14:textId="77777777" w:rsidR="00C86FCA" w:rsidRPr="00767F3C" w:rsidRDefault="00C86FCA" w:rsidP="00C86FCA">
            <w:pPr>
              <w:rPr>
                <w:rFonts w:cstheme="minorHAnsi"/>
              </w:rPr>
            </w:pPr>
            <w:r w:rsidRPr="00767F3C">
              <w:rPr>
                <w:rFonts w:cstheme="minorHAnsi"/>
              </w:rPr>
              <w:t>- „Programem rozwoju e-zdrowia na lata 2022-2027”</w:t>
            </w:r>
            <w:r>
              <w:rPr>
                <w:rFonts w:cstheme="minorHAnsi"/>
              </w:rPr>
              <w:t>,</w:t>
            </w:r>
            <w:r w:rsidRPr="00767F3C">
              <w:rPr>
                <w:rFonts w:cstheme="minorHAnsi"/>
              </w:rPr>
              <w:t xml:space="preserve">* </w:t>
            </w:r>
          </w:p>
          <w:p w14:paraId="395DF1D2" w14:textId="77777777" w:rsidR="00C86FCA" w:rsidRDefault="00C86FCA" w:rsidP="00C86FCA">
            <w:pPr>
              <w:ind w:left="31" w:hanging="31"/>
              <w:rPr>
                <w:rFonts w:cstheme="minorHAnsi"/>
              </w:rPr>
            </w:pPr>
            <w:r w:rsidRPr="00767F3C">
              <w:rPr>
                <w:rFonts w:cstheme="minorHAnsi"/>
              </w:rPr>
              <w:t>- Rekomendacjami zawartymi w Portalu Interoperacyjności i Architektury, w tym dla kryteriów wyboru projektów z zakresu usług elektronicznych, z uwzględnieniem ewentualnych zmian ww. rekomendacji</w:t>
            </w:r>
            <w:r>
              <w:rPr>
                <w:rFonts w:cstheme="minorHAnsi"/>
              </w:rPr>
              <w:t>,</w:t>
            </w:r>
            <w:r w:rsidRPr="00767F3C">
              <w:rPr>
                <w:rFonts w:cstheme="minorHAnsi"/>
              </w:rPr>
              <w:t>**</w:t>
            </w:r>
            <w:r w:rsidRPr="00767F3C">
              <w:rPr>
                <w:rFonts w:cstheme="minorHAnsi"/>
              </w:rPr>
              <w:br/>
              <w:t>- Pryncypiami Architektury Informacyjnej Państwa</w:t>
            </w:r>
            <w:r>
              <w:rPr>
                <w:rFonts w:cstheme="minorHAnsi"/>
              </w:rPr>
              <w:t>,</w:t>
            </w:r>
            <w:r w:rsidRPr="00767F3C">
              <w:rPr>
                <w:rFonts w:cstheme="minorHAnsi"/>
              </w:rPr>
              <w:t>***</w:t>
            </w:r>
            <w:r w:rsidRPr="00767F3C">
              <w:rPr>
                <w:rFonts w:cstheme="minorHAnsi"/>
              </w:rPr>
              <w:br/>
              <w:t xml:space="preserve">- Metamodelem realizacji e- usługi, opisanym na rysunku 1 „Metamodel </w:t>
            </w:r>
            <w:r w:rsidRPr="00767F3C">
              <w:rPr>
                <w:rFonts w:cstheme="minorHAnsi"/>
              </w:rPr>
              <w:lastRenderedPageBreak/>
              <w:t xml:space="preserve">realizacji e-usługi”, </w:t>
            </w:r>
            <w:r w:rsidRPr="00767F3C">
              <w:rPr>
                <w:rFonts w:cstheme="minorHAnsi"/>
              </w:rPr>
              <w:br/>
              <w:t xml:space="preserve">- Zasadami budowy </w:t>
            </w:r>
            <w:proofErr w:type="spellStart"/>
            <w:r w:rsidRPr="00767F3C">
              <w:rPr>
                <w:rFonts w:cstheme="minorHAnsi"/>
              </w:rPr>
              <w:t>interoperacyjnego</w:t>
            </w:r>
            <w:proofErr w:type="spellEnd"/>
            <w:r w:rsidRPr="00767F3C">
              <w:rPr>
                <w:rFonts w:cstheme="minorHAnsi"/>
              </w:rPr>
              <w:t xml:space="preserve"> systemu teleinformatycznego.</w:t>
            </w:r>
          </w:p>
          <w:p w14:paraId="6412E87E" w14:textId="77777777" w:rsidR="00C86FCA" w:rsidRPr="00767F3C" w:rsidRDefault="00C86FCA" w:rsidP="00C86FCA">
            <w:pPr>
              <w:rPr>
                <w:rFonts w:cstheme="minorHAnsi"/>
              </w:rPr>
            </w:pPr>
          </w:p>
          <w:p w14:paraId="446E167F" w14:textId="77777777" w:rsidR="00C86FCA" w:rsidRPr="00767F3C" w:rsidRDefault="00C86FCA" w:rsidP="00C86FCA">
            <w:pPr>
              <w:rPr>
                <w:rFonts w:cstheme="minorHAnsi"/>
              </w:rPr>
            </w:pPr>
            <w:r w:rsidRPr="00767F3C">
              <w:rPr>
                <w:rFonts w:cstheme="minorHAnsi"/>
                <w:vertAlign w:val="superscript"/>
              </w:rPr>
              <w:t>* Program zamieszczony został na stronie internetowej</w:t>
            </w:r>
            <w:r w:rsidRPr="00767F3C">
              <w:rPr>
                <w:rFonts w:cstheme="minorHAnsi"/>
                <w:u w:val="single"/>
                <w:vertAlign w:val="superscript"/>
              </w:rPr>
              <w:t xml:space="preserve">: </w:t>
            </w:r>
            <w:hyperlink r:id="rId12" w:history="1">
              <w:r w:rsidRPr="00767F3C">
                <w:rPr>
                  <w:rStyle w:val="Hipercze"/>
                  <w:rFonts w:cstheme="minorHAnsi"/>
                  <w:vertAlign w:val="superscript"/>
                </w:rPr>
                <w:t>https://www.gov.pl/web/zdrowie/program-rozwoju-e-zdrowia-na-lata-2022-2027</w:t>
              </w:r>
            </w:hyperlink>
          </w:p>
          <w:p w14:paraId="4E61CF1E" w14:textId="77777777" w:rsidR="00C86FCA" w:rsidRPr="00767F3C" w:rsidRDefault="00C86FCA" w:rsidP="00C86FCA">
            <w:pPr>
              <w:rPr>
                <w:rFonts w:cstheme="minorHAnsi"/>
                <w:u w:val="single"/>
                <w:vertAlign w:val="superscript"/>
              </w:rPr>
            </w:pPr>
            <w:r w:rsidRPr="00767F3C">
              <w:rPr>
                <w:rFonts w:cstheme="minorHAnsi"/>
                <w:u w:val="single"/>
                <w:vertAlign w:val="superscript"/>
              </w:rPr>
              <w:t xml:space="preserve">** </w:t>
            </w:r>
            <w:hyperlink r:id="rId13" w:history="1">
              <w:r w:rsidRPr="00767F3C">
                <w:rPr>
                  <w:rStyle w:val="Hipercze"/>
                  <w:rFonts w:cstheme="minorHAnsi"/>
                  <w:vertAlign w:val="superscript"/>
                </w:rPr>
                <w:t>https://www.gov.pl/web/ia</w:t>
              </w:r>
            </w:hyperlink>
          </w:p>
          <w:p w14:paraId="19538898" w14:textId="77777777" w:rsidR="00C86FCA" w:rsidRDefault="00C86FCA" w:rsidP="00C86FCA">
            <w:pPr>
              <w:rPr>
                <w:rFonts w:cstheme="minorHAnsi"/>
              </w:rPr>
            </w:pPr>
            <w:r w:rsidRPr="00767F3C">
              <w:rPr>
                <w:rFonts w:cstheme="minorHAnsi"/>
                <w:vertAlign w:val="superscript"/>
              </w:rPr>
              <w:t xml:space="preserve">*** </w:t>
            </w:r>
            <w:hyperlink r:id="rId14" w:history="1">
              <w:r w:rsidRPr="00767F3C">
                <w:rPr>
                  <w:rStyle w:val="Hipercze"/>
                  <w:rFonts w:cstheme="minorHAnsi"/>
                  <w:vertAlign w:val="superscript"/>
                </w:rPr>
                <w:t>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hyperlink>
          </w:p>
          <w:p w14:paraId="34ABE8C4" w14:textId="77777777" w:rsidR="00C86FCA" w:rsidRPr="00767F3C" w:rsidRDefault="00C86FCA" w:rsidP="00C86FCA">
            <w:pPr>
              <w:rPr>
                <w:rFonts w:cstheme="minorHAnsi"/>
                <w:vertAlign w:val="superscript"/>
              </w:rPr>
            </w:pPr>
          </w:p>
          <w:p w14:paraId="2B407E66" w14:textId="7C12405C" w:rsidR="00700D22" w:rsidRDefault="00C86FCA" w:rsidP="00C86FCA">
            <w:pPr>
              <w:rPr>
                <w:rFonts w:cstheme="minorHAnsi"/>
              </w:rPr>
            </w:pPr>
            <w:r w:rsidRPr="00767F3C">
              <w:rPr>
                <w:rFonts w:cstheme="minorHAnsi"/>
              </w:rPr>
              <w:t>Spełnienie kryterium weryfikowane będzie na podstawie zapisów wniosku o dofinansowanie oraz dokumentacji składanej wraz z wnioskiem o dofinansowanie obowiązującej na dzień przystąpienia do naboru.</w:t>
            </w:r>
            <w:r w:rsidR="00526F4B">
              <w:rPr>
                <w:rFonts w:cstheme="minorHAnsi"/>
              </w:rPr>
              <w:t xml:space="preserve"> </w:t>
            </w:r>
          </w:p>
          <w:p w14:paraId="272044C5" w14:textId="5E4C2BFD" w:rsidR="00C86FCA" w:rsidRPr="00DA193B" w:rsidRDefault="00C86FCA" w:rsidP="00C86FCA">
            <w:pPr>
              <w:rPr>
                <w:rFonts w:cstheme="minorHAnsi"/>
              </w:rPr>
            </w:pPr>
            <w:r w:rsidRPr="00DA193B">
              <w:rPr>
                <w:rFonts w:cstheme="minorHAnsi"/>
              </w:rPr>
              <w:tab/>
            </w:r>
          </w:p>
        </w:tc>
        <w:tc>
          <w:tcPr>
            <w:tcW w:w="1701" w:type="dxa"/>
          </w:tcPr>
          <w:p w14:paraId="1BFAF117" w14:textId="64BDF504" w:rsidR="00C86FCA" w:rsidRPr="00DA193B" w:rsidRDefault="00C86FCA" w:rsidP="00C86FCA">
            <w:pPr>
              <w:jc w:val="center"/>
              <w:rPr>
                <w:rFonts w:cstheme="minorHAnsi"/>
              </w:rPr>
            </w:pPr>
            <w:r w:rsidRPr="00DA193B">
              <w:rPr>
                <w:rFonts w:cstheme="minorHAnsi"/>
              </w:rPr>
              <w:lastRenderedPageBreak/>
              <w:t>0/1</w:t>
            </w:r>
          </w:p>
        </w:tc>
        <w:tc>
          <w:tcPr>
            <w:tcW w:w="1417" w:type="dxa"/>
          </w:tcPr>
          <w:p w14:paraId="04FFC9B0" w14:textId="666D794F" w:rsidR="00C86FCA" w:rsidRPr="00DA193B" w:rsidRDefault="00C86FCA" w:rsidP="00C86FCA">
            <w:pPr>
              <w:jc w:val="center"/>
              <w:rPr>
                <w:rFonts w:cstheme="minorHAnsi"/>
              </w:rPr>
            </w:pPr>
            <w:r w:rsidRPr="00DA193B">
              <w:rPr>
                <w:rFonts w:cstheme="minorHAnsi"/>
              </w:rPr>
              <w:t>Tak</w:t>
            </w:r>
          </w:p>
        </w:tc>
      </w:tr>
      <w:tr w:rsidR="00C86FCA" w:rsidRPr="00DA193B" w14:paraId="1F68BB29" w14:textId="77777777" w:rsidTr="00FE48A9">
        <w:tc>
          <w:tcPr>
            <w:tcW w:w="524" w:type="dxa"/>
          </w:tcPr>
          <w:p w14:paraId="59D5D1E2" w14:textId="4B505FBF" w:rsidR="00C86FCA" w:rsidRPr="0055598C" w:rsidRDefault="00C86FCA" w:rsidP="00C86FCA">
            <w:pPr>
              <w:rPr>
                <w:rFonts w:cstheme="minorHAnsi"/>
                <w:b/>
                <w:bCs/>
              </w:rPr>
            </w:pPr>
            <w:r w:rsidRPr="0055598C">
              <w:rPr>
                <w:rFonts w:cstheme="minorHAnsi"/>
                <w:b/>
                <w:bCs/>
              </w:rPr>
              <w:t>9.</w:t>
            </w:r>
          </w:p>
        </w:tc>
        <w:tc>
          <w:tcPr>
            <w:tcW w:w="3724" w:type="dxa"/>
          </w:tcPr>
          <w:p w14:paraId="7AE1A5D6" w14:textId="45B9A247" w:rsidR="00C86FCA" w:rsidRPr="00DA193B" w:rsidRDefault="00C86FCA" w:rsidP="00C86FCA">
            <w:pPr>
              <w:rPr>
                <w:rFonts w:cstheme="minorHAnsi"/>
                <w:b/>
                <w:bCs/>
              </w:rPr>
            </w:pPr>
            <w:r w:rsidRPr="0053341C">
              <w:rPr>
                <w:rFonts w:cstheme="minorHAnsi"/>
                <w:b/>
                <w:bCs/>
              </w:rPr>
              <w:t>Zgodność ze standardami dostępności</w:t>
            </w:r>
          </w:p>
        </w:tc>
        <w:tc>
          <w:tcPr>
            <w:tcW w:w="7371" w:type="dxa"/>
          </w:tcPr>
          <w:p w14:paraId="2F9E6713" w14:textId="77777777" w:rsidR="00C86FCA" w:rsidRPr="0053341C" w:rsidRDefault="00C86FCA" w:rsidP="00C86FCA">
            <w:pPr>
              <w:rPr>
                <w:rFonts w:cstheme="minorHAnsi"/>
              </w:rPr>
            </w:pPr>
            <w:r w:rsidRPr="0053341C">
              <w:rPr>
                <w:rFonts w:cstheme="minorHAnsi"/>
              </w:rPr>
              <w:t>W ramach kryterium wnioskodawca/partner zobowiązał się do tworzenia i świadczenia usług elektronicznych spełniających standardy dostępności zgodnie z:</w:t>
            </w:r>
          </w:p>
          <w:p w14:paraId="6AE510C7" w14:textId="57439C5D" w:rsidR="00C86FCA" w:rsidRPr="0053341C" w:rsidRDefault="00C86FCA" w:rsidP="00C86FCA">
            <w:pPr>
              <w:ind w:left="172" w:hanging="172"/>
              <w:rPr>
                <w:rFonts w:cstheme="minorHAnsi"/>
              </w:rPr>
            </w:pPr>
            <w:r w:rsidRPr="0053341C">
              <w:rPr>
                <w:rFonts w:cstheme="minorHAnsi"/>
              </w:rPr>
              <w:t xml:space="preserve">- </w:t>
            </w:r>
            <w:r>
              <w:rPr>
                <w:rFonts w:cstheme="minorHAnsi"/>
              </w:rPr>
              <w:t xml:space="preserve"> </w:t>
            </w:r>
            <w:r w:rsidRPr="0053341C">
              <w:rPr>
                <w:rFonts w:cstheme="minorHAnsi"/>
              </w:rPr>
              <w:t>Dyrektywą Parlamentu Europejskiego i Rady (UE) 2016/2102 z dnia 26 października 2016 r. w sprawie dostępności stron internetowych i mobilnych aplikacji organów sektora publicznego (Dz.U.UE.L.2016.327.1 z dnia 2016.12.02);</w:t>
            </w:r>
          </w:p>
          <w:p w14:paraId="70C18A11" w14:textId="179C039F" w:rsidR="00C86FCA" w:rsidRDefault="00C86FCA" w:rsidP="00C86FCA">
            <w:pPr>
              <w:ind w:left="172" w:hanging="172"/>
              <w:rPr>
                <w:rFonts w:cstheme="minorHAnsi"/>
              </w:rPr>
            </w:pPr>
            <w:r w:rsidRPr="0053341C">
              <w:rPr>
                <w:rFonts w:cstheme="minorHAnsi"/>
              </w:rPr>
              <w:t xml:space="preserve">- </w:t>
            </w:r>
            <w:r>
              <w:rPr>
                <w:rFonts w:cstheme="minorHAnsi"/>
              </w:rPr>
              <w:t xml:space="preserve"> </w:t>
            </w:r>
            <w:r w:rsidRPr="0053341C">
              <w:rPr>
                <w:rFonts w:cstheme="minorHAnsi"/>
              </w:rPr>
              <w:t>Dyrektywą Parlamentu Europejskiego i Rady (UE) 2019/882 z dnia 17 kwietnia 2019 r. w sprawie wymogów dostępności produktów i usług (Dz.U.UE.L.2019.151.70 z dnia 2019.06.07) (Europejski Akt Dostępności);</w:t>
            </w:r>
          </w:p>
          <w:p w14:paraId="2BEFF916" w14:textId="77777777" w:rsidR="00C86FCA" w:rsidRPr="0053341C" w:rsidRDefault="00C86FCA" w:rsidP="00C86FCA">
            <w:pPr>
              <w:rPr>
                <w:rFonts w:cstheme="minorHAnsi"/>
              </w:rPr>
            </w:pPr>
          </w:p>
          <w:p w14:paraId="35087748" w14:textId="1C1FA3D2" w:rsidR="00C86FCA" w:rsidRDefault="00C86FCA" w:rsidP="00C86FCA">
            <w:pPr>
              <w:rPr>
                <w:rFonts w:cstheme="minorHAnsi"/>
              </w:rPr>
            </w:pPr>
            <w:r w:rsidRPr="0053341C">
              <w:rPr>
                <w:rFonts w:cstheme="minorHAnsi"/>
              </w:rPr>
              <w:t xml:space="preserve">W ramach kryterium ocenie podlega, </w:t>
            </w:r>
            <w:r w:rsidR="00425EB1">
              <w:rPr>
                <w:rFonts w:cstheme="minorHAnsi"/>
              </w:rPr>
              <w:t>czy</w:t>
            </w:r>
            <w:r w:rsidRPr="0053341C">
              <w:rPr>
                <w:rFonts w:cstheme="minorHAnsi"/>
              </w:rPr>
              <w:t xml:space="preserve"> e-usługi planowane do realizacji w projekcie </w:t>
            </w:r>
            <w:r w:rsidR="00425EB1">
              <w:rPr>
                <w:rFonts w:cstheme="minorHAnsi"/>
              </w:rPr>
              <w:t>spełniają</w:t>
            </w:r>
            <w:r w:rsidRPr="0053341C">
              <w:rPr>
                <w:rFonts w:cstheme="minorHAnsi"/>
              </w:rPr>
              <w:t xml:space="preserve"> ww. wymagania.</w:t>
            </w:r>
          </w:p>
          <w:p w14:paraId="39C7A619" w14:textId="4BDA9E0B" w:rsidR="00700D22" w:rsidRPr="00DA193B" w:rsidRDefault="00700D22" w:rsidP="00C86FCA">
            <w:pPr>
              <w:rPr>
                <w:rFonts w:cstheme="minorHAnsi"/>
              </w:rPr>
            </w:pPr>
          </w:p>
        </w:tc>
        <w:tc>
          <w:tcPr>
            <w:tcW w:w="1701" w:type="dxa"/>
          </w:tcPr>
          <w:p w14:paraId="3B3BCEF2" w14:textId="77777777" w:rsidR="00C86FCA" w:rsidRPr="00DA193B" w:rsidRDefault="00C86FCA" w:rsidP="00C86FCA">
            <w:pPr>
              <w:jc w:val="center"/>
              <w:rPr>
                <w:rFonts w:cstheme="minorHAnsi"/>
              </w:rPr>
            </w:pPr>
            <w:r w:rsidRPr="00DA193B">
              <w:rPr>
                <w:rFonts w:cstheme="minorHAnsi"/>
              </w:rPr>
              <w:t>0/1</w:t>
            </w:r>
          </w:p>
        </w:tc>
        <w:tc>
          <w:tcPr>
            <w:tcW w:w="1417" w:type="dxa"/>
          </w:tcPr>
          <w:p w14:paraId="007EE6CB" w14:textId="77777777" w:rsidR="00C86FCA" w:rsidRPr="00DA193B" w:rsidRDefault="00C86FCA" w:rsidP="00C86FCA">
            <w:pPr>
              <w:jc w:val="center"/>
              <w:rPr>
                <w:rFonts w:cstheme="minorHAnsi"/>
              </w:rPr>
            </w:pPr>
            <w:r w:rsidRPr="00DA193B">
              <w:rPr>
                <w:rFonts w:cstheme="minorHAnsi"/>
              </w:rPr>
              <w:t>Tak</w:t>
            </w:r>
          </w:p>
        </w:tc>
      </w:tr>
      <w:tr w:rsidR="00C86FCA" w:rsidRPr="00DA193B" w14:paraId="66F9B061" w14:textId="77777777" w:rsidTr="00FE48A9">
        <w:tc>
          <w:tcPr>
            <w:tcW w:w="524" w:type="dxa"/>
          </w:tcPr>
          <w:p w14:paraId="0FE0DD54" w14:textId="4C8D3E89" w:rsidR="00C86FCA" w:rsidRPr="0055598C" w:rsidRDefault="00C86FCA" w:rsidP="00C86FCA">
            <w:pPr>
              <w:rPr>
                <w:rFonts w:cstheme="minorHAnsi"/>
                <w:b/>
                <w:bCs/>
              </w:rPr>
            </w:pPr>
            <w:r w:rsidRPr="0055598C">
              <w:rPr>
                <w:rFonts w:cstheme="minorHAnsi"/>
                <w:b/>
                <w:bCs/>
              </w:rPr>
              <w:t>10.</w:t>
            </w:r>
          </w:p>
        </w:tc>
        <w:tc>
          <w:tcPr>
            <w:tcW w:w="3724" w:type="dxa"/>
          </w:tcPr>
          <w:p w14:paraId="40979ECB" w14:textId="21FDF23F" w:rsidR="00C86FCA" w:rsidRPr="00DA193B" w:rsidRDefault="00C86FCA" w:rsidP="00C86FCA">
            <w:pPr>
              <w:rPr>
                <w:rFonts w:cstheme="minorHAnsi"/>
                <w:b/>
                <w:bCs/>
              </w:rPr>
            </w:pPr>
            <w:r w:rsidRPr="00B21577">
              <w:rPr>
                <w:rFonts w:cstheme="minorHAnsi"/>
                <w:b/>
                <w:bCs/>
              </w:rPr>
              <w:t>Dostosowanie do obowiązujących norm krajowych i europejskich, w tym zgodność e-usług na poziomie standardu WCAG 2.1 na poziomie AA</w:t>
            </w:r>
          </w:p>
        </w:tc>
        <w:tc>
          <w:tcPr>
            <w:tcW w:w="7371" w:type="dxa"/>
          </w:tcPr>
          <w:p w14:paraId="1D769C9C" w14:textId="77777777" w:rsidR="00C86FCA" w:rsidRDefault="00C86FCA" w:rsidP="00C86FCA">
            <w:pPr>
              <w:rPr>
                <w:rFonts w:cstheme="minorHAnsi"/>
              </w:rPr>
            </w:pPr>
            <w:r w:rsidRPr="00B21577">
              <w:rPr>
                <w:rFonts w:cstheme="minorHAnsi"/>
              </w:rPr>
              <w:t>W ramach kryterium wnioskodawca zobowiązany jest wykazać, że wszystkie systemy teleinformatyczne w ramach projektu będą spełniały standardy dostępności cyfrowej WCAG 2.1. na poziomie AA oraz zgodność z przepisami krajowymi i europejskimi w tym zakresie, w tym z dyrektywą Parlamentu Europejskiego i Rady (UE) 2016/2102 z dnia 26 października 2016 r. w sprawie dostępności stron internetowych i mobilnych aplikacji organów sektora publicznego (Dz. Urz. UE L 327 z 02.12.2016, str. 1).</w:t>
            </w:r>
          </w:p>
          <w:p w14:paraId="63C8CDCF" w14:textId="0B09097B" w:rsidR="00700D22" w:rsidRPr="00DA193B" w:rsidRDefault="00700D22" w:rsidP="00C86FCA">
            <w:pPr>
              <w:rPr>
                <w:rFonts w:cstheme="minorHAnsi"/>
                <w:b/>
                <w:bCs/>
              </w:rPr>
            </w:pPr>
          </w:p>
        </w:tc>
        <w:tc>
          <w:tcPr>
            <w:tcW w:w="1701" w:type="dxa"/>
          </w:tcPr>
          <w:p w14:paraId="298C73B0" w14:textId="77777777" w:rsidR="00C86FCA" w:rsidRPr="00DA193B" w:rsidRDefault="00C86FCA" w:rsidP="00C86FCA">
            <w:pPr>
              <w:jc w:val="center"/>
              <w:rPr>
                <w:rFonts w:cstheme="minorHAnsi"/>
              </w:rPr>
            </w:pPr>
            <w:r w:rsidRPr="00DA193B">
              <w:rPr>
                <w:rFonts w:cstheme="minorHAnsi"/>
              </w:rPr>
              <w:lastRenderedPageBreak/>
              <w:t>0/1</w:t>
            </w:r>
          </w:p>
        </w:tc>
        <w:tc>
          <w:tcPr>
            <w:tcW w:w="1417" w:type="dxa"/>
          </w:tcPr>
          <w:p w14:paraId="0C3EF996" w14:textId="77777777" w:rsidR="00C86FCA" w:rsidRPr="00DA193B" w:rsidRDefault="00C86FCA" w:rsidP="00C86FCA">
            <w:pPr>
              <w:jc w:val="center"/>
              <w:rPr>
                <w:rFonts w:cstheme="minorHAnsi"/>
              </w:rPr>
            </w:pPr>
            <w:r w:rsidRPr="00DA193B">
              <w:rPr>
                <w:rFonts w:cstheme="minorHAnsi"/>
              </w:rPr>
              <w:t>Tak</w:t>
            </w:r>
          </w:p>
        </w:tc>
      </w:tr>
      <w:tr w:rsidR="00C86FCA" w:rsidRPr="00DA193B" w14:paraId="02DFC6A9" w14:textId="77777777" w:rsidTr="00FE48A9">
        <w:tc>
          <w:tcPr>
            <w:tcW w:w="524" w:type="dxa"/>
          </w:tcPr>
          <w:p w14:paraId="13F05E9F" w14:textId="3224D5D5" w:rsidR="00C86FCA" w:rsidRPr="0055598C" w:rsidRDefault="00C86FCA" w:rsidP="00C86FCA">
            <w:pPr>
              <w:rPr>
                <w:rFonts w:cstheme="minorHAnsi"/>
                <w:b/>
                <w:bCs/>
              </w:rPr>
            </w:pPr>
            <w:r w:rsidRPr="0055598C">
              <w:rPr>
                <w:rFonts w:cstheme="minorHAnsi"/>
                <w:b/>
                <w:bCs/>
              </w:rPr>
              <w:t>11.</w:t>
            </w:r>
          </w:p>
        </w:tc>
        <w:tc>
          <w:tcPr>
            <w:tcW w:w="3724" w:type="dxa"/>
          </w:tcPr>
          <w:p w14:paraId="076AA406" w14:textId="39B530AE" w:rsidR="00C86FCA" w:rsidRPr="00DA193B" w:rsidRDefault="00C86FCA" w:rsidP="00C86FCA">
            <w:pPr>
              <w:rPr>
                <w:rFonts w:cstheme="minorHAnsi"/>
                <w:b/>
                <w:bCs/>
              </w:rPr>
            </w:pPr>
            <w:r w:rsidRPr="00CE08A1">
              <w:rPr>
                <w:rFonts w:cstheme="minorHAnsi"/>
                <w:b/>
                <w:bCs/>
              </w:rPr>
              <w:t>Zgodność ze standardami wymiany informacji oraz formatami elektronicznej dokumentacji medycznej</w:t>
            </w:r>
          </w:p>
        </w:tc>
        <w:tc>
          <w:tcPr>
            <w:tcW w:w="7371" w:type="dxa"/>
          </w:tcPr>
          <w:p w14:paraId="6C01A5FD" w14:textId="77777777" w:rsidR="00C86FCA" w:rsidRDefault="00C86FCA" w:rsidP="00C86FCA">
            <w:pPr>
              <w:rPr>
                <w:rFonts w:cstheme="minorHAnsi"/>
              </w:rPr>
            </w:pPr>
            <w:r w:rsidRPr="00CE08A1">
              <w:rPr>
                <w:rFonts w:cstheme="minorHAnsi"/>
              </w:rPr>
              <w:t>W ramach kryterium wnioskodawca zobowiązany jest wykazać zgodność produktów wytworzonych w projekcie ze standardami wymiany oraz formatami elektronicznej dokumentacji medycznej (dalej: EDM) oraz standardami komunikacji, o których mowa w art. 8d ustawy z dnia 28 kwietnia 2011 r. o systemie informacji w ochronie zdrowia (Dz. U. z 2025 r. poz. 302, dalej: USIOZ).</w:t>
            </w:r>
          </w:p>
          <w:p w14:paraId="05AAFCFD" w14:textId="68D9A89F" w:rsidR="00700D22" w:rsidRPr="00DA193B" w:rsidRDefault="00700D22" w:rsidP="00C86FCA">
            <w:pPr>
              <w:rPr>
                <w:rFonts w:cstheme="minorHAnsi"/>
              </w:rPr>
            </w:pPr>
          </w:p>
        </w:tc>
        <w:tc>
          <w:tcPr>
            <w:tcW w:w="1701" w:type="dxa"/>
          </w:tcPr>
          <w:p w14:paraId="0BB83035" w14:textId="77777777" w:rsidR="00C86FCA" w:rsidRPr="00DA193B" w:rsidRDefault="00C86FCA" w:rsidP="00C86FCA">
            <w:pPr>
              <w:jc w:val="center"/>
              <w:rPr>
                <w:rFonts w:cstheme="minorHAnsi"/>
              </w:rPr>
            </w:pPr>
            <w:r w:rsidRPr="00DA193B">
              <w:rPr>
                <w:rFonts w:cstheme="minorHAnsi"/>
              </w:rPr>
              <w:t>0/1</w:t>
            </w:r>
          </w:p>
        </w:tc>
        <w:tc>
          <w:tcPr>
            <w:tcW w:w="1417" w:type="dxa"/>
          </w:tcPr>
          <w:p w14:paraId="341E20DE" w14:textId="77777777" w:rsidR="00C86FCA" w:rsidRPr="00DA193B" w:rsidRDefault="00C86FCA" w:rsidP="00C86FCA">
            <w:pPr>
              <w:jc w:val="center"/>
              <w:rPr>
                <w:rFonts w:cstheme="minorHAnsi"/>
              </w:rPr>
            </w:pPr>
            <w:r w:rsidRPr="00DA193B">
              <w:rPr>
                <w:rFonts w:cstheme="minorHAnsi"/>
              </w:rPr>
              <w:t>Tak</w:t>
            </w:r>
          </w:p>
        </w:tc>
      </w:tr>
      <w:tr w:rsidR="00C86FCA" w:rsidRPr="00DA193B" w14:paraId="2EBBC575" w14:textId="77777777" w:rsidTr="00FE48A9">
        <w:tc>
          <w:tcPr>
            <w:tcW w:w="524" w:type="dxa"/>
          </w:tcPr>
          <w:p w14:paraId="71CF6A74" w14:textId="17A6C7D7" w:rsidR="00C86FCA" w:rsidRPr="0055598C" w:rsidRDefault="00C86FCA" w:rsidP="00C86FCA">
            <w:pPr>
              <w:rPr>
                <w:rFonts w:cstheme="minorHAnsi"/>
                <w:b/>
                <w:bCs/>
              </w:rPr>
            </w:pPr>
            <w:r w:rsidRPr="0055598C">
              <w:rPr>
                <w:rFonts w:cstheme="minorHAnsi"/>
                <w:b/>
                <w:bCs/>
              </w:rPr>
              <w:t>12.</w:t>
            </w:r>
          </w:p>
        </w:tc>
        <w:tc>
          <w:tcPr>
            <w:tcW w:w="3724" w:type="dxa"/>
          </w:tcPr>
          <w:p w14:paraId="6CDC4108" w14:textId="77777777" w:rsidR="00C86FCA" w:rsidRPr="00A23718" w:rsidRDefault="00C86FCA" w:rsidP="00C86FCA">
            <w:pPr>
              <w:rPr>
                <w:rFonts w:cstheme="minorHAnsi"/>
                <w:b/>
                <w:bCs/>
              </w:rPr>
            </w:pPr>
            <w:r w:rsidRPr="00A23718">
              <w:rPr>
                <w:rFonts w:cstheme="minorHAnsi"/>
                <w:b/>
                <w:bCs/>
              </w:rPr>
              <w:t>Zgodność z wymaganiami w zakresie:</w:t>
            </w:r>
          </w:p>
          <w:p w14:paraId="58B7C0BF" w14:textId="77777777" w:rsidR="00C86FCA" w:rsidRPr="00A23718" w:rsidRDefault="00C86FCA" w:rsidP="00C86FCA">
            <w:pPr>
              <w:rPr>
                <w:rFonts w:cstheme="minorHAnsi"/>
                <w:b/>
                <w:bCs/>
              </w:rPr>
            </w:pPr>
            <w:r w:rsidRPr="00A23718">
              <w:rPr>
                <w:rFonts w:cstheme="minorHAnsi"/>
                <w:b/>
                <w:bCs/>
              </w:rPr>
              <w:t>a) budowy i rozbudowy e-usług za pośrednictwem rozwiązań centralnych, w szczególności obejmujący prowadzenie lub wymianę EDM albo rozwiązań</w:t>
            </w:r>
          </w:p>
          <w:p w14:paraId="1C6A4E82" w14:textId="77777777" w:rsidR="00C86FCA" w:rsidRPr="00A23718" w:rsidRDefault="00C86FCA" w:rsidP="00C86FCA">
            <w:pPr>
              <w:rPr>
                <w:rFonts w:cstheme="minorHAnsi"/>
                <w:b/>
                <w:bCs/>
              </w:rPr>
            </w:pPr>
            <w:proofErr w:type="spellStart"/>
            <w:r w:rsidRPr="00A23718">
              <w:rPr>
                <w:rFonts w:cstheme="minorHAnsi"/>
                <w:b/>
                <w:bCs/>
              </w:rPr>
              <w:t>telemedycznych</w:t>
            </w:r>
            <w:proofErr w:type="spellEnd"/>
            <w:r w:rsidRPr="00A23718">
              <w:rPr>
                <w:rFonts w:cstheme="minorHAnsi"/>
                <w:b/>
                <w:bCs/>
              </w:rPr>
              <w:t>,</w:t>
            </w:r>
          </w:p>
          <w:p w14:paraId="35529304" w14:textId="77777777" w:rsidR="00C86FCA" w:rsidRPr="00A23718" w:rsidRDefault="00C86FCA" w:rsidP="00C86FCA">
            <w:pPr>
              <w:rPr>
                <w:rFonts w:cstheme="minorHAnsi"/>
                <w:b/>
                <w:bCs/>
              </w:rPr>
            </w:pPr>
            <w:r w:rsidRPr="00A23718">
              <w:rPr>
                <w:rFonts w:cstheme="minorHAnsi"/>
                <w:b/>
                <w:bCs/>
              </w:rPr>
              <w:t>b) budowy lub rozbudowy narzędzi teleinformatycznych w celu usprawnienia procesu</w:t>
            </w:r>
          </w:p>
          <w:p w14:paraId="3F3A4234" w14:textId="3BDEC65D" w:rsidR="00C86FCA" w:rsidRPr="00DA193B" w:rsidRDefault="00C86FCA" w:rsidP="00C86FCA">
            <w:pPr>
              <w:rPr>
                <w:rFonts w:cstheme="minorHAnsi"/>
                <w:b/>
                <w:bCs/>
              </w:rPr>
            </w:pPr>
            <w:r w:rsidRPr="00A23718">
              <w:rPr>
                <w:rFonts w:cstheme="minorHAnsi"/>
                <w:b/>
                <w:bCs/>
              </w:rPr>
              <w:t>udzielania świadczeń (</w:t>
            </w:r>
            <w:proofErr w:type="spellStart"/>
            <w:r w:rsidRPr="00A23718">
              <w:rPr>
                <w:rFonts w:cstheme="minorHAnsi"/>
                <w:b/>
                <w:bCs/>
              </w:rPr>
              <w:t>back-office</w:t>
            </w:r>
            <w:proofErr w:type="spellEnd"/>
            <w:r w:rsidRPr="00A23718">
              <w:rPr>
                <w:rFonts w:cstheme="minorHAnsi"/>
                <w:b/>
                <w:bCs/>
              </w:rPr>
              <w:t>) oraz świadczenia e-usług (w szczególności taką usługą jest wymiana EDM), jeżeli dotyczy działań prowadzanych przez podmioty wykonujące działalność leczniczą</w:t>
            </w:r>
          </w:p>
          <w:p w14:paraId="3D33C699" w14:textId="3780A0AA" w:rsidR="00C86FCA" w:rsidRPr="00DA193B" w:rsidRDefault="00C86FCA" w:rsidP="00C86FCA">
            <w:pPr>
              <w:rPr>
                <w:rFonts w:cstheme="minorHAnsi"/>
                <w:b/>
                <w:bCs/>
              </w:rPr>
            </w:pPr>
          </w:p>
        </w:tc>
        <w:tc>
          <w:tcPr>
            <w:tcW w:w="7371" w:type="dxa"/>
          </w:tcPr>
          <w:p w14:paraId="38B68D73" w14:textId="1C17F3EF" w:rsidR="00C86FCA" w:rsidRDefault="00C86FCA" w:rsidP="00C86FCA">
            <w:pPr>
              <w:rPr>
                <w:rFonts w:cs="Calibri"/>
              </w:rPr>
            </w:pPr>
            <w:r>
              <w:rPr>
                <w:rFonts w:cs="Calibri"/>
              </w:rPr>
              <w:t>W ramach kryterium wnioskodawca zobowiązany jest zapewnić rozwiązania (</w:t>
            </w:r>
            <w:r w:rsidRPr="0072635D">
              <w:rPr>
                <w:rFonts w:cs="Calibri"/>
                <w:i/>
                <w:iCs/>
              </w:rPr>
              <w:t>w obszarach, których dotyczy projekt</w:t>
            </w:r>
            <w:r>
              <w:rPr>
                <w:rFonts w:cs="Calibri"/>
              </w:rPr>
              <w:t>):</w:t>
            </w:r>
          </w:p>
          <w:p w14:paraId="4E5D3870" w14:textId="0FFF8085" w:rsidR="00C86FCA" w:rsidRDefault="00C86FCA" w:rsidP="00C86FCA">
            <w:pPr>
              <w:rPr>
                <w:rFonts w:cs="Calibri"/>
              </w:rPr>
            </w:pPr>
            <w:r>
              <w:rPr>
                <w:rFonts w:cs="Calibri"/>
              </w:rPr>
              <w:t>- Zlecenia procedur medycznych (badań, konsultacji, podania leków) oraz przekazanie wyników tych procedur personelowi medycznemu – po zakończeniu realizacji projektu będą w całości realizowane w systemach teleinformatycznych (np. w systemie szpitalnym HIS, gabinetowym, laboratoryjnym LIS, radiologicznym RIS, farmaceutycznym PIS, kardiologicznym CIS);</w:t>
            </w:r>
          </w:p>
          <w:p w14:paraId="694AFB59" w14:textId="6F6B169B" w:rsidR="00C86FCA" w:rsidRDefault="00C86FCA" w:rsidP="00C86FCA">
            <w:pPr>
              <w:rPr>
                <w:rFonts w:cs="Calibri"/>
              </w:rPr>
            </w:pPr>
            <w:r>
              <w:rPr>
                <w:rFonts w:cs="Calibri"/>
              </w:rPr>
              <w:t>- Ponad 90% obrazów medycznych (DICOM*, nie-DICOM) oraz wyników badań laboratoryjnych wytworzone po zakończeniu realizacji projektu będzie przechowywanych w systemie teleinformatycznym, a dane te będą powiązane z danymi pacjenta oraz zdarzeniami medycznymi w ramach których były realizowane;</w:t>
            </w:r>
          </w:p>
          <w:p w14:paraId="1AA13A8D" w14:textId="381E3A3E" w:rsidR="00E15737" w:rsidRPr="0064435A" w:rsidRDefault="00C86FCA" w:rsidP="00C86FCA">
            <w:pPr>
              <w:contextualSpacing/>
              <w:rPr>
                <w:rFonts w:cs="Calibri"/>
                <w:vertAlign w:val="superscript"/>
                <w:lang w:val="en-US"/>
              </w:rPr>
            </w:pPr>
            <w:r w:rsidRPr="0064435A">
              <w:rPr>
                <w:rFonts w:cs="Calibri"/>
              </w:rPr>
              <w:t>*</w:t>
            </w:r>
            <w:r w:rsidR="00E15737" w:rsidRPr="0064435A">
              <w:t xml:space="preserve"> </w:t>
            </w:r>
            <w:r w:rsidR="00E15737" w:rsidRPr="0064435A">
              <w:rPr>
                <w:rStyle w:val="Hipercze"/>
                <w:rFonts w:cstheme="minorHAnsi"/>
                <w:color w:val="auto"/>
                <w:vertAlign w:val="superscript"/>
              </w:rPr>
              <w:t xml:space="preserve">Digital </w:t>
            </w:r>
            <w:proofErr w:type="spellStart"/>
            <w:r w:rsidR="00E15737" w:rsidRPr="0064435A">
              <w:rPr>
                <w:rStyle w:val="Hipercze"/>
                <w:rFonts w:cstheme="minorHAnsi"/>
                <w:color w:val="auto"/>
                <w:vertAlign w:val="superscript"/>
              </w:rPr>
              <w:t>Imaging</w:t>
            </w:r>
            <w:proofErr w:type="spellEnd"/>
            <w:r w:rsidR="00E15737" w:rsidRPr="0064435A">
              <w:rPr>
                <w:rStyle w:val="Hipercze"/>
                <w:rFonts w:cstheme="minorHAnsi"/>
                <w:color w:val="auto"/>
                <w:vertAlign w:val="superscript"/>
              </w:rPr>
              <w:t xml:space="preserve"> and Communications in </w:t>
            </w:r>
            <w:proofErr w:type="spellStart"/>
            <w:r w:rsidR="00E15737" w:rsidRPr="0064435A">
              <w:rPr>
                <w:rStyle w:val="Hipercze"/>
                <w:rFonts w:cstheme="minorHAnsi"/>
                <w:color w:val="auto"/>
                <w:vertAlign w:val="superscript"/>
              </w:rPr>
              <w:t>Medicine</w:t>
            </w:r>
            <w:proofErr w:type="spellEnd"/>
          </w:p>
          <w:p w14:paraId="276878AB" w14:textId="77777777" w:rsidR="00C86FCA" w:rsidRDefault="00C86FCA" w:rsidP="00C86FCA">
            <w:pPr>
              <w:rPr>
                <w:rFonts w:cs="Calibri"/>
              </w:rPr>
            </w:pPr>
            <w:r>
              <w:rPr>
                <w:rFonts w:cs="Calibri"/>
              </w:rPr>
              <w:t>- Ponad 90% wyników badań laboratoryjnych wytworzonych po zakończeniu realizacji projektu (m.in. biochemia kliniczna, mikrobiologia, badania molekularne) będzie przechowywanych w formie ustrukturyzowanych danych, które można wykorzystać w ramach analiz niezbędnych do podejmowania decyzji klinicznych;</w:t>
            </w:r>
          </w:p>
          <w:p w14:paraId="6DEA0A77" w14:textId="77777777" w:rsidR="00C86FCA" w:rsidRDefault="00C86FCA" w:rsidP="00C86FCA">
            <w:pPr>
              <w:rPr>
                <w:rFonts w:cs="Calibri"/>
              </w:rPr>
            </w:pPr>
            <w:r>
              <w:rPr>
                <w:rFonts w:cs="Calibri"/>
              </w:rPr>
              <w:t>- W procesie zarządzania podawaniem leków po zakończeniu realizacji projektu będą wykorzystywane interaktywne alerty, zapewniające bezpieczeństwo podawania leków (np. zduplikowane zlecenia, interakcje leków, nieprawidłowe dawki itd.). Podmioty wykonujące działalność leczniczą będą gromadzić dane o wszystkich produktach leczniczych podanych pacjentowi w trakcie udzielania świadczeń wraz z dawką i czasem podania;</w:t>
            </w:r>
          </w:p>
          <w:p w14:paraId="46A068F9" w14:textId="77777777" w:rsidR="00C86FCA" w:rsidRDefault="00C86FCA" w:rsidP="00C86FCA">
            <w:pPr>
              <w:rPr>
                <w:rFonts w:cs="Calibri"/>
              </w:rPr>
            </w:pPr>
            <w:r>
              <w:rPr>
                <w:rFonts w:cs="Calibri"/>
              </w:rPr>
              <w:t>- Po zakończeniu realizacji projektu podmiot wykonujący działalność leczniczą posiada system informatyczny zgodny z wymaganiami art. 8b USIOZ. W ramach tego kryterium należy m.in. weryfikować czy podmiot udzielający świadczeń zdrowotnych:</w:t>
            </w:r>
          </w:p>
          <w:p w14:paraId="12E7E81C" w14:textId="77777777" w:rsidR="00C86FCA" w:rsidRDefault="00C86FCA" w:rsidP="00C86FCA">
            <w:pPr>
              <w:rPr>
                <w:rFonts w:cs="Calibri"/>
              </w:rPr>
            </w:pPr>
            <w:r>
              <w:rPr>
                <w:rFonts w:cs="Calibri"/>
              </w:rPr>
              <w:t>a) gromadził jednostkowe dane medyczne,</w:t>
            </w:r>
          </w:p>
          <w:p w14:paraId="65C030DE" w14:textId="77777777" w:rsidR="00C86FCA" w:rsidRDefault="00C86FCA" w:rsidP="00C86FCA">
            <w:pPr>
              <w:rPr>
                <w:rFonts w:cs="Calibri"/>
              </w:rPr>
            </w:pPr>
            <w:r>
              <w:rPr>
                <w:rFonts w:cs="Calibri"/>
              </w:rPr>
              <w:lastRenderedPageBreak/>
              <w:t>b) tworzył EDM;</w:t>
            </w:r>
          </w:p>
          <w:p w14:paraId="191FA56B" w14:textId="77777777" w:rsidR="00C86FCA" w:rsidRDefault="00C86FCA" w:rsidP="00C86FCA">
            <w:pPr>
              <w:rPr>
                <w:rFonts w:cs="Calibri"/>
              </w:rPr>
            </w:pPr>
            <w:r>
              <w:rPr>
                <w:rFonts w:cs="Calibri"/>
              </w:rPr>
              <w:t>c) udostępniał EDM,</w:t>
            </w:r>
          </w:p>
          <w:p w14:paraId="6E19BB81" w14:textId="77777777" w:rsidR="00C86FCA" w:rsidRDefault="00C86FCA" w:rsidP="00C86FCA">
            <w:pPr>
              <w:rPr>
                <w:rFonts w:cs="Calibri"/>
              </w:rPr>
            </w:pPr>
            <w:r>
              <w:rPr>
                <w:rFonts w:cs="Calibri"/>
              </w:rPr>
              <w:t>d) udostępniał obrazy medyczne w formacie plików DICOM;</w:t>
            </w:r>
          </w:p>
          <w:p w14:paraId="6C3B488F" w14:textId="77777777" w:rsidR="00C86FCA" w:rsidRDefault="00C86FCA" w:rsidP="00C86FCA">
            <w:pPr>
              <w:rPr>
                <w:rFonts w:cs="Calibri"/>
              </w:rPr>
            </w:pPr>
            <w:r>
              <w:rPr>
                <w:rFonts w:cs="Calibri"/>
              </w:rPr>
              <w:t>e) identyfikował się i wymieniał jednostkowe dane medyczne;</w:t>
            </w:r>
          </w:p>
          <w:p w14:paraId="395B8A2A" w14:textId="77777777" w:rsidR="00C86FCA" w:rsidRDefault="00C86FCA" w:rsidP="00C86FCA">
            <w:pPr>
              <w:rPr>
                <w:rFonts w:cs="Calibri"/>
              </w:rPr>
            </w:pPr>
            <w:r>
              <w:rPr>
                <w:rFonts w:cs="Calibri"/>
              </w:rPr>
              <w:t>f) jest zintegrowany z innymi systemami e-zdrowia</w:t>
            </w:r>
          </w:p>
          <w:p w14:paraId="07D03C9C" w14:textId="77777777" w:rsidR="00C86FCA" w:rsidRDefault="00C86FCA" w:rsidP="00C86FCA">
            <w:pPr>
              <w:rPr>
                <w:rFonts w:cs="Calibri"/>
              </w:rPr>
            </w:pPr>
            <w:r>
              <w:rPr>
                <w:rFonts w:cs="Calibri"/>
              </w:rPr>
              <w:t>- zgodnie z Polską Implementacją Krajową HL7 CDA, profilami IHE,</w:t>
            </w:r>
          </w:p>
          <w:p w14:paraId="27821AA6" w14:textId="77777777" w:rsidR="00C86FCA" w:rsidRDefault="00C86FCA" w:rsidP="00C86FCA">
            <w:pPr>
              <w:rPr>
                <w:rFonts w:cs="Calibri"/>
              </w:rPr>
            </w:pPr>
            <w:r>
              <w:rPr>
                <w:rFonts w:cs="Calibri"/>
              </w:rPr>
              <w:t>standardami, o których mowa w USIOZ.  Po zakończeniu realizacji projektu w systemie teleinformatycznym usługodawcy powinien umożliwiać (upoważnionym pracownikom medycznym) pobranie EDM pacjenta wytworzonej w innych podmiotach wykonujących działalność leczniczą.</w:t>
            </w:r>
          </w:p>
          <w:p w14:paraId="0656A923" w14:textId="5AB1EDDC" w:rsidR="00700D22" w:rsidRPr="00DA193B" w:rsidRDefault="00700D22" w:rsidP="00C86FCA">
            <w:pPr>
              <w:rPr>
                <w:rFonts w:cstheme="minorHAnsi"/>
              </w:rPr>
            </w:pPr>
          </w:p>
        </w:tc>
        <w:tc>
          <w:tcPr>
            <w:tcW w:w="1701" w:type="dxa"/>
          </w:tcPr>
          <w:p w14:paraId="45A3571E" w14:textId="1D682733" w:rsidR="00C86FCA" w:rsidRPr="00DA193B" w:rsidRDefault="00C86FCA" w:rsidP="00C86FCA">
            <w:pPr>
              <w:jc w:val="center"/>
              <w:rPr>
                <w:rFonts w:cstheme="minorHAnsi"/>
              </w:rPr>
            </w:pPr>
            <w:r w:rsidRPr="00DA193B">
              <w:rPr>
                <w:rFonts w:cstheme="minorHAnsi"/>
              </w:rPr>
              <w:lastRenderedPageBreak/>
              <w:t>0/1</w:t>
            </w:r>
          </w:p>
        </w:tc>
        <w:tc>
          <w:tcPr>
            <w:tcW w:w="1417" w:type="dxa"/>
          </w:tcPr>
          <w:p w14:paraId="2651E49B" w14:textId="3FB49297" w:rsidR="00C86FCA" w:rsidRPr="00DA193B" w:rsidRDefault="00C86FCA" w:rsidP="00C86FCA">
            <w:pPr>
              <w:jc w:val="center"/>
              <w:rPr>
                <w:rFonts w:cstheme="minorHAnsi"/>
              </w:rPr>
            </w:pPr>
            <w:r w:rsidRPr="00DA193B">
              <w:rPr>
                <w:rFonts w:cstheme="minorHAnsi"/>
              </w:rPr>
              <w:t>Tak</w:t>
            </w:r>
          </w:p>
        </w:tc>
      </w:tr>
      <w:tr w:rsidR="00C86FCA" w:rsidRPr="00DA193B" w14:paraId="4A47600E" w14:textId="77777777" w:rsidTr="00FE48A9">
        <w:trPr>
          <w:trHeight w:val="1520"/>
        </w:trPr>
        <w:tc>
          <w:tcPr>
            <w:tcW w:w="524" w:type="dxa"/>
          </w:tcPr>
          <w:p w14:paraId="09A0F9A6" w14:textId="557AF287" w:rsidR="00C86FCA" w:rsidRPr="0055598C" w:rsidRDefault="00C86FCA" w:rsidP="00C86FCA">
            <w:pPr>
              <w:pStyle w:val="Default"/>
              <w:rPr>
                <w:rFonts w:asciiTheme="minorHAnsi" w:hAnsiTheme="minorHAnsi" w:cstheme="minorHAnsi"/>
                <w:b/>
                <w:bCs/>
                <w:color w:val="auto"/>
                <w:sz w:val="22"/>
                <w:szCs w:val="22"/>
              </w:rPr>
            </w:pPr>
            <w:r w:rsidRPr="0055598C">
              <w:rPr>
                <w:rFonts w:asciiTheme="minorHAnsi" w:hAnsiTheme="minorHAnsi" w:cstheme="minorHAnsi"/>
                <w:b/>
                <w:bCs/>
                <w:color w:val="auto"/>
                <w:sz w:val="22"/>
                <w:szCs w:val="22"/>
              </w:rPr>
              <w:t>13.</w:t>
            </w:r>
          </w:p>
        </w:tc>
        <w:tc>
          <w:tcPr>
            <w:tcW w:w="3724" w:type="dxa"/>
          </w:tcPr>
          <w:p w14:paraId="7F960CD3" w14:textId="6D23854F" w:rsidR="00C86FCA" w:rsidRPr="00DA193B" w:rsidRDefault="00C86FCA" w:rsidP="00C86FCA">
            <w:pPr>
              <w:pStyle w:val="Default"/>
              <w:rPr>
                <w:rFonts w:asciiTheme="minorHAnsi" w:hAnsiTheme="minorHAnsi" w:cstheme="minorHAnsi"/>
                <w:b/>
                <w:bCs/>
                <w:color w:val="auto"/>
                <w:sz w:val="22"/>
                <w:szCs w:val="22"/>
              </w:rPr>
            </w:pPr>
            <w:r w:rsidRPr="00FE6239">
              <w:rPr>
                <w:rFonts w:asciiTheme="minorHAnsi" w:hAnsiTheme="minorHAnsi" w:cstheme="minorHAnsi"/>
                <w:b/>
                <w:bCs/>
                <w:color w:val="auto"/>
                <w:sz w:val="22"/>
                <w:szCs w:val="22"/>
              </w:rPr>
              <w:t>Dane medyczne w obszarze analityki medycznej</w:t>
            </w:r>
          </w:p>
        </w:tc>
        <w:tc>
          <w:tcPr>
            <w:tcW w:w="7371" w:type="dxa"/>
          </w:tcPr>
          <w:p w14:paraId="5718317B" w14:textId="06B4CACB" w:rsidR="00C86FCA" w:rsidRPr="00FE6239" w:rsidRDefault="00C86FCA" w:rsidP="00C86FCA">
            <w:pPr>
              <w:pStyle w:val="Default"/>
              <w:rPr>
                <w:rFonts w:asciiTheme="minorHAnsi" w:hAnsiTheme="minorHAnsi" w:cstheme="minorHAnsi"/>
                <w:color w:val="auto"/>
                <w:sz w:val="22"/>
                <w:szCs w:val="22"/>
              </w:rPr>
            </w:pPr>
            <w:r w:rsidRPr="00FE6239">
              <w:rPr>
                <w:rFonts w:asciiTheme="minorHAnsi" w:hAnsiTheme="minorHAnsi" w:cstheme="minorHAnsi"/>
                <w:color w:val="auto"/>
                <w:sz w:val="22"/>
                <w:szCs w:val="22"/>
              </w:rPr>
              <w:t>W ramach kryterium wnioskodawca zobowiązany jest wykazać</w:t>
            </w:r>
            <w:r w:rsidR="00A2253C">
              <w:rPr>
                <w:rFonts w:asciiTheme="minorHAnsi" w:hAnsiTheme="minorHAnsi" w:cstheme="minorHAnsi"/>
                <w:color w:val="auto"/>
                <w:sz w:val="22"/>
                <w:szCs w:val="22"/>
              </w:rPr>
              <w:t xml:space="preserve"> </w:t>
            </w:r>
            <w:r w:rsidR="00A2253C" w:rsidRPr="0064435A">
              <w:rPr>
                <w:i/>
                <w:iCs/>
                <w:sz w:val="22"/>
                <w:szCs w:val="22"/>
              </w:rPr>
              <w:t>(w obszarach, których dotyczy projekt)</w:t>
            </w:r>
            <w:r w:rsidRPr="0064435A">
              <w:rPr>
                <w:rFonts w:asciiTheme="minorHAnsi" w:hAnsiTheme="minorHAnsi" w:cstheme="minorHAnsi"/>
                <w:i/>
                <w:iCs/>
                <w:color w:val="auto"/>
                <w:sz w:val="22"/>
                <w:szCs w:val="22"/>
              </w:rPr>
              <w:t xml:space="preserve">, </w:t>
            </w:r>
            <w:r w:rsidRPr="00FE6239">
              <w:rPr>
                <w:rFonts w:asciiTheme="minorHAnsi" w:hAnsiTheme="minorHAnsi" w:cstheme="minorHAnsi"/>
                <w:color w:val="auto"/>
                <w:sz w:val="22"/>
                <w:szCs w:val="22"/>
              </w:rPr>
              <w:t>że:</w:t>
            </w:r>
          </w:p>
          <w:p w14:paraId="562F2FD2" w14:textId="50061131" w:rsidR="00C86FCA" w:rsidRPr="00FE6239" w:rsidRDefault="00C86FCA" w:rsidP="00466813">
            <w:pPr>
              <w:pStyle w:val="Default"/>
              <w:ind w:left="172" w:hanging="172"/>
              <w:rPr>
                <w:rFonts w:asciiTheme="minorHAnsi" w:hAnsiTheme="minorHAnsi" w:cstheme="minorHAnsi"/>
                <w:color w:val="auto"/>
                <w:sz w:val="22"/>
                <w:szCs w:val="22"/>
              </w:rPr>
            </w:pPr>
            <w:r w:rsidRPr="00FE6239">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FE6239">
              <w:rPr>
                <w:rFonts w:asciiTheme="minorHAnsi" w:hAnsiTheme="minorHAnsi" w:cstheme="minorHAnsi"/>
                <w:color w:val="auto"/>
                <w:sz w:val="22"/>
                <w:szCs w:val="22"/>
              </w:rPr>
              <w:t>w wyniku realizacji projektu zostały określone zasady oraz procedury dotyczące przepływu danych medycznych w podmiocie, w tym m.in. zasady skanowania danych przy łóżku pacjenta (skanowania z wykorzystaniem czytników kodów kreskowych lub QR);</w:t>
            </w:r>
          </w:p>
          <w:p w14:paraId="0911C0BF" w14:textId="77777777" w:rsidR="00C86FCA" w:rsidRDefault="00C86FCA" w:rsidP="00C86FCA">
            <w:pPr>
              <w:pStyle w:val="Default"/>
              <w:ind w:left="31"/>
              <w:rPr>
                <w:rFonts w:asciiTheme="minorHAnsi" w:hAnsiTheme="minorHAnsi" w:cstheme="minorHAnsi"/>
                <w:color w:val="auto"/>
                <w:sz w:val="22"/>
                <w:szCs w:val="22"/>
              </w:rPr>
            </w:pPr>
            <w:r w:rsidRPr="00FE6239">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FE6239">
              <w:rPr>
                <w:rFonts w:asciiTheme="minorHAnsi" w:hAnsiTheme="minorHAnsi" w:cstheme="minorHAnsi"/>
                <w:color w:val="auto"/>
                <w:sz w:val="22"/>
                <w:szCs w:val="22"/>
              </w:rPr>
              <w:t>Wnioskodawca będzie raportować wyniki dotyczące efektywności finansowej oraz działalności podstawowej (medycznej) – efektywności i jakości procesu leczenia. Podmiot wykonujący działalność leczniczą będzie agregował te dane w celu wykorzystania do zarządzania jakością i efektywnością. Raporty będą przeznaczone dla personelu medycznego monitującego skuteczność leczenia pacjentów, kadry zarządzającej podmiotem wykonującym działalność leczniczą oraz dla podmiotu tworzącego ten podmiot.</w:t>
            </w:r>
          </w:p>
          <w:p w14:paraId="3A76EB58" w14:textId="6D98FC30" w:rsidR="00700D22" w:rsidRPr="00DA193B" w:rsidRDefault="00700D22" w:rsidP="00C86FCA">
            <w:pPr>
              <w:pStyle w:val="Default"/>
              <w:ind w:left="31"/>
              <w:rPr>
                <w:rFonts w:asciiTheme="minorHAnsi" w:hAnsiTheme="minorHAnsi" w:cstheme="minorHAnsi"/>
                <w:color w:val="auto"/>
                <w:sz w:val="22"/>
                <w:szCs w:val="22"/>
              </w:rPr>
            </w:pPr>
          </w:p>
        </w:tc>
        <w:tc>
          <w:tcPr>
            <w:tcW w:w="1701" w:type="dxa"/>
          </w:tcPr>
          <w:p w14:paraId="7F2F6FFF" w14:textId="55FC37C6" w:rsidR="00C86FCA" w:rsidRPr="00DA193B" w:rsidRDefault="00C86FCA" w:rsidP="00C86FCA">
            <w:pPr>
              <w:pStyle w:val="Default"/>
              <w:jc w:val="center"/>
              <w:rPr>
                <w:rFonts w:asciiTheme="minorHAnsi" w:hAnsiTheme="minorHAnsi" w:cstheme="minorHAnsi"/>
                <w:color w:val="auto"/>
                <w:sz w:val="22"/>
                <w:szCs w:val="22"/>
              </w:rPr>
            </w:pPr>
            <w:r w:rsidRPr="00DA193B">
              <w:rPr>
                <w:rFonts w:asciiTheme="minorHAnsi" w:hAnsiTheme="minorHAnsi" w:cstheme="minorHAnsi"/>
                <w:color w:val="auto"/>
                <w:sz w:val="22"/>
                <w:szCs w:val="22"/>
              </w:rPr>
              <w:t>0/1</w:t>
            </w:r>
          </w:p>
        </w:tc>
        <w:tc>
          <w:tcPr>
            <w:tcW w:w="1417" w:type="dxa"/>
          </w:tcPr>
          <w:p w14:paraId="59E89274" w14:textId="47F481BE" w:rsidR="00C86FCA" w:rsidRPr="00DA193B" w:rsidRDefault="00C86FCA" w:rsidP="00C86FCA">
            <w:pPr>
              <w:pStyle w:val="Default"/>
              <w:jc w:val="center"/>
              <w:rPr>
                <w:rFonts w:asciiTheme="minorHAnsi" w:hAnsiTheme="minorHAnsi" w:cstheme="minorHAnsi"/>
                <w:color w:val="auto"/>
                <w:sz w:val="22"/>
                <w:szCs w:val="22"/>
              </w:rPr>
            </w:pPr>
            <w:r w:rsidRPr="00DA193B">
              <w:rPr>
                <w:rFonts w:asciiTheme="minorHAnsi" w:hAnsiTheme="minorHAnsi" w:cstheme="minorHAnsi"/>
                <w:color w:val="auto"/>
                <w:sz w:val="22"/>
                <w:szCs w:val="22"/>
              </w:rPr>
              <w:t>Tak</w:t>
            </w:r>
          </w:p>
        </w:tc>
      </w:tr>
      <w:tr w:rsidR="00C86FCA" w:rsidRPr="00DA193B" w14:paraId="0D992189" w14:textId="77777777" w:rsidTr="005B7897">
        <w:trPr>
          <w:trHeight w:val="841"/>
        </w:trPr>
        <w:tc>
          <w:tcPr>
            <w:tcW w:w="524" w:type="dxa"/>
          </w:tcPr>
          <w:p w14:paraId="0F586033" w14:textId="4FB8F1A2" w:rsidR="00C86FCA" w:rsidRPr="0055598C" w:rsidRDefault="00C86FCA" w:rsidP="00C86FCA">
            <w:pPr>
              <w:pStyle w:val="Default"/>
              <w:rPr>
                <w:rFonts w:asciiTheme="minorHAnsi" w:hAnsiTheme="minorHAnsi" w:cstheme="minorHAnsi"/>
                <w:b/>
                <w:bCs/>
                <w:color w:val="auto"/>
                <w:sz w:val="22"/>
                <w:szCs w:val="22"/>
              </w:rPr>
            </w:pPr>
            <w:r w:rsidRPr="0055598C">
              <w:rPr>
                <w:rFonts w:asciiTheme="minorHAnsi" w:hAnsiTheme="minorHAnsi" w:cstheme="minorHAnsi"/>
                <w:b/>
                <w:bCs/>
                <w:color w:val="auto"/>
                <w:sz w:val="22"/>
                <w:szCs w:val="22"/>
              </w:rPr>
              <w:t>14.</w:t>
            </w:r>
          </w:p>
        </w:tc>
        <w:tc>
          <w:tcPr>
            <w:tcW w:w="3724" w:type="dxa"/>
          </w:tcPr>
          <w:p w14:paraId="4C6F2EB6" w14:textId="11F49CDA" w:rsidR="00C86FCA" w:rsidRPr="00DA193B" w:rsidRDefault="00C86FCA" w:rsidP="00C86FCA">
            <w:pPr>
              <w:pStyle w:val="Default"/>
              <w:rPr>
                <w:rFonts w:asciiTheme="minorHAnsi" w:hAnsiTheme="minorHAnsi" w:cstheme="minorHAnsi"/>
                <w:b/>
                <w:bCs/>
                <w:color w:val="auto"/>
                <w:sz w:val="22"/>
                <w:szCs w:val="22"/>
              </w:rPr>
            </w:pPr>
            <w:r w:rsidRPr="0096760E">
              <w:rPr>
                <w:rFonts w:asciiTheme="minorHAnsi" w:hAnsiTheme="minorHAnsi" w:cstheme="minorHAnsi"/>
                <w:b/>
                <w:bCs/>
                <w:color w:val="auto"/>
                <w:sz w:val="22"/>
                <w:szCs w:val="22"/>
              </w:rPr>
              <w:t>Zgodność z wymaganiami w zakresie interoperacyjności i komplementarności zastosowanych rozwiązań</w:t>
            </w:r>
          </w:p>
        </w:tc>
        <w:tc>
          <w:tcPr>
            <w:tcW w:w="7371" w:type="dxa"/>
          </w:tcPr>
          <w:p w14:paraId="42FA4B51" w14:textId="7828EE5F" w:rsidR="00C86FCA" w:rsidRDefault="00C86FCA" w:rsidP="00C86FCA">
            <w:pPr>
              <w:autoSpaceDE w:val="0"/>
              <w:autoSpaceDN w:val="0"/>
              <w:adjustRightInd w:val="0"/>
              <w:rPr>
                <w:rFonts w:eastAsia="MS Mincho" w:cs="Calibri"/>
              </w:rPr>
            </w:pPr>
            <w:r>
              <w:rPr>
                <w:rFonts w:eastAsia="MS Mincho" w:cs="Calibri"/>
              </w:rPr>
              <w:t>W ramach kryterium wnioskodawca musi zapewnić, komplementarność i interoperacyjność inwestycji zaplanowanych we wnioskach o dofinasowanie projektów z innymi już zrealizowanymi i realizowanymi centralnie działaniami z obszaru e-zdrowia i telemedycyny*, a także ich nie dublować oraz muszą być zgodne z przepisami prawa powszechnie obowiązującego, w szczególności z USIOZ, oraz z Programem Rozwoju e-Zdrowia na lata 2022-2027.</w:t>
            </w:r>
          </w:p>
          <w:p w14:paraId="1728414A" w14:textId="77777777" w:rsidR="00C86FCA" w:rsidRDefault="00C86FCA" w:rsidP="00C86FCA">
            <w:pPr>
              <w:autoSpaceDE w:val="0"/>
              <w:autoSpaceDN w:val="0"/>
              <w:adjustRightInd w:val="0"/>
              <w:rPr>
                <w:rFonts w:eastAsia="MS Mincho" w:cs="Calibri"/>
              </w:rPr>
            </w:pPr>
          </w:p>
          <w:p w14:paraId="5923F837" w14:textId="68A67A9B" w:rsidR="00700D22" w:rsidRPr="00DA193B" w:rsidRDefault="00C86FCA" w:rsidP="00C86FCA">
            <w:pPr>
              <w:pStyle w:val="Default"/>
              <w:rPr>
                <w:rFonts w:asciiTheme="minorHAnsi" w:hAnsiTheme="minorHAnsi" w:cstheme="minorHAnsi"/>
                <w:color w:val="auto"/>
                <w:sz w:val="22"/>
                <w:szCs w:val="22"/>
              </w:rPr>
            </w:pPr>
            <w:r>
              <w:rPr>
                <w:rFonts w:eastAsia="MS Mincho"/>
                <w:vertAlign w:val="superscript"/>
              </w:rPr>
              <w:t xml:space="preserve">* Oznacza to, że projekty, w tym m.in. polegające na dostosowaniu systemów teleinformatycznych usługodawców do wymiany danych z Systemem Informacji Medycznej lub z systemami innych usługodawców, będą weryfikowane pod kątem komplementarności, interoperacyjności oraz niedublowania funkcjonalności </w:t>
            </w:r>
            <w:r>
              <w:rPr>
                <w:rFonts w:eastAsia="MS Mincho"/>
                <w:vertAlign w:val="superscript"/>
              </w:rPr>
              <w:lastRenderedPageBreak/>
              <w:t>przewidzianych w usługach centralnych (np. Systemu Informacji Medycznej (P1 i P2), systemami dziedzinowymi, systemem e-Krew).</w:t>
            </w:r>
          </w:p>
        </w:tc>
        <w:tc>
          <w:tcPr>
            <w:tcW w:w="1701" w:type="dxa"/>
          </w:tcPr>
          <w:p w14:paraId="53F6427A" w14:textId="77777777" w:rsidR="00C86FCA" w:rsidRPr="00DA193B" w:rsidRDefault="00C86FCA" w:rsidP="00C86FCA">
            <w:pPr>
              <w:pStyle w:val="Default"/>
              <w:jc w:val="center"/>
              <w:rPr>
                <w:rFonts w:asciiTheme="minorHAnsi" w:hAnsiTheme="minorHAnsi" w:cstheme="minorHAnsi"/>
                <w:color w:val="auto"/>
                <w:sz w:val="22"/>
                <w:szCs w:val="22"/>
              </w:rPr>
            </w:pPr>
            <w:r w:rsidRPr="00DA193B">
              <w:rPr>
                <w:rFonts w:asciiTheme="minorHAnsi" w:hAnsiTheme="minorHAnsi" w:cstheme="minorHAnsi"/>
                <w:color w:val="auto"/>
                <w:sz w:val="22"/>
                <w:szCs w:val="22"/>
              </w:rPr>
              <w:lastRenderedPageBreak/>
              <w:t>0/1</w:t>
            </w:r>
          </w:p>
        </w:tc>
        <w:tc>
          <w:tcPr>
            <w:tcW w:w="1417" w:type="dxa"/>
          </w:tcPr>
          <w:p w14:paraId="29611CC3" w14:textId="77777777" w:rsidR="00C86FCA" w:rsidRPr="00DA193B" w:rsidRDefault="00C86FCA" w:rsidP="00C86FCA">
            <w:pPr>
              <w:pStyle w:val="Default"/>
              <w:jc w:val="center"/>
              <w:rPr>
                <w:rFonts w:asciiTheme="minorHAnsi" w:hAnsiTheme="minorHAnsi" w:cstheme="minorHAnsi"/>
                <w:color w:val="auto"/>
                <w:sz w:val="22"/>
                <w:szCs w:val="22"/>
              </w:rPr>
            </w:pPr>
            <w:r w:rsidRPr="00DA193B">
              <w:rPr>
                <w:rFonts w:asciiTheme="minorHAnsi" w:hAnsiTheme="minorHAnsi" w:cstheme="minorHAnsi"/>
                <w:color w:val="auto"/>
                <w:sz w:val="22"/>
                <w:szCs w:val="22"/>
              </w:rPr>
              <w:t>Tak</w:t>
            </w:r>
          </w:p>
        </w:tc>
      </w:tr>
      <w:tr w:rsidR="00C86FCA" w:rsidRPr="00DA193B" w14:paraId="63D02C17" w14:textId="77777777" w:rsidTr="00FE48A9">
        <w:tc>
          <w:tcPr>
            <w:tcW w:w="524" w:type="dxa"/>
          </w:tcPr>
          <w:p w14:paraId="0AC6F694" w14:textId="6EB0CC80" w:rsidR="00C86FCA" w:rsidRPr="0055598C" w:rsidRDefault="00C86FCA" w:rsidP="00C86FCA">
            <w:pPr>
              <w:rPr>
                <w:rFonts w:cstheme="minorHAnsi"/>
                <w:b/>
                <w:bCs/>
              </w:rPr>
            </w:pPr>
            <w:r w:rsidRPr="0055598C">
              <w:rPr>
                <w:rFonts w:cstheme="minorHAnsi"/>
                <w:b/>
                <w:bCs/>
              </w:rPr>
              <w:t>15.</w:t>
            </w:r>
          </w:p>
        </w:tc>
        <w:tc>
          <w:tcPr>
            <w:tcW w:w="3724" w:type="dxa"/>
            <w:tcBorders>
              <w:top w:val="single" w:sz="4" w:space="0" w:color="auto"/>
              <w:left w:val="single" w:sz="4" w:space="0" w:color="auto"/>
              <w:bottom w:val="single" w:sz="4" w:space="0" w:color="auto"/>
              <w:right w:val="single" w:sz="4" w:space="0" w:color="auto"/>
            </w:tcBorders>
          </w:tcPr>
          <w:p w14:paraId="0DEE4B62" w14:textId="607DB39B" w:rsidR="00C86FCA" w:rsidRPr="00DA193B" w:rsidRDefault="00C86FCA" w:rsidP="00C86FCA">
            <w:pPr>
              <w:rPr>
                <w:rFonts w:cstheme="minorHAnsi"/>
                <w:b/>
                <w:bCs/>
              </w:rPr>
            </w:pPr>
            <w:r w:rsidRPr="00C71B89">
              <w:rPr>
                <w:rFonts w:cstheme="minorHAnsi"/>
                <w:b/>
                <w:bCs/>
              </w:rPr>
              <w:t>Zasadność i adekwatność wydatków</w:t>
            </w:r>
          </w:p>
        </w:tc>
        <w:tc>
          <w:tcPr>
            <w:tcW w:w="7371" w:type="dxa"/>
            <w:tcBorders>
              <w:top w:val="single" w:sz="4" w:space="0" w:color="auto"/>
              <w:left w:val="single" w:sz="4" w:space="0" w:color="auto"/>
              <w:bottom w:val="single" w:sz="4" w:space="0" w:color="auto"/>
              <w:right w:val="single" w:sz="4" w:space="0" w:color="auto"/>
            </w:tcBorders>
          </w:tcPr>
          <w:p w14:paraId="016593C8" w14:textId="77777777" w:rsidR="00C86FCA" w:rsidRDefault="00C86FCA" w:rsidP="00C86FCA">
            <w:pPr>
              <w:rPr>
                <w:rFonts w:cstheme="minorHAnsi"/>
              </w:rPr>
            </w:pPr>
            <w:r w:rsidRPr="00C71B89">
              <w:rPr>
                <w:rFonts w:cstheme="minorHAnsi"/>
              </w:rPr>
              <w:t>W ramach kryterium ocenie będzie podlegać, czy zaplanowane zakupy środków trwałych i usług są adekwatne do celów i skali projektu oraz zaangażowanych środków.</w:t>
            </w:r>
          </w:p>
          <w:p w14:paraId="09CEAA40" w14:textId="4ABB35A8" w:rsidR="00700D22" w:rsidRPr="00DA193B" w:rsidRDefault="00700D22" w:rsidP="00C86FCA">
            <w:pPr>
              <w:rPr>
                <w:rFonts w:cstheme="minorHAnsi"/>
              </w:rPr>
            </w:pPr>
          </w:p>
        </w:tc>
        <w:tc>
          <w:tcPr>
            <w:tcW w:w="1701" w:type="dxa"/>
          </w:tcPr>
          <w:p w14:paraId="5865FCD7" w14:textId="77777777" w:rsidR="00C86FCA" w:rsidRPr="00DA193B" w:rsidRDefault="00C86FCA" w:rsidP="00C86FCA">
            <w:pPr>
              <w:jc w:val="center"/>
              <w:rPr>
                <w:rFonts w:cstheme="minorHAnsi"/>
              </w:rPr>
            </w:pPr>
            <w:r w:rsidRPr="00DA193B">
              <w:rPr>
                <w:rFonts w:cstheme="minorHAnsi"/>
              </w:rPr>
              <w:t>0/1</w:t>
            </w:r>
          </w:p>
        </w:tc>
        <w:tc>
          <w:tcPr>
            <w:tcW w:w="1417" w:type="dxa"/>
          </w:tcPr>
          <w:p w14:paraId="5BA1A8A8" w14:textId="77777777" w:rsidR="00C86FCA" w:rsidRPr="00DA193B" w:rsidRDefault="00C86FCA" w:rsidP="00C86FCA">
            <w:pPr>
              <w:jc w:val="center"/>
              <w:rPr>
                <w:rFonts w:cstheme="minorHAnsi"/>
              </w:rPr>
            </w:pPr>
            <w:r w:rsidRPr="00DA193B">
              <w:rPr>
                <w:rFonts w:cstheme="minorHAnsi"/>
              </w:rPr>
              <w:t>Tak</w:t>
            </w:r>
          </w:p>
        </w:tc>
      </w:tr>
      <w:tr w:rsidR="00C86FCA" w:rsidRPr="00DA193B" w14:paraId="2E47714B" w14:textId="77777777" w:rsidTr="00FE48A9">
        <w:tc>
          <w:tcPr>
            <w:tcW w:w="524" w:type="dxa"/>
          </w:tcPr>
          <w:p w14:paraId="14EE4002" w14:textId="0FA14516" w:rsidR="00C86FCA" w:rsidRPr="0055598C" w:rsidRDefault="00C86FCA" w:rsidP="00C86FCA">
            <w:pPr>
              <w:rPr>
                <w:rFonts w:cstheme="minorHAnsi"/>
                <w:b/>
                <w:bCs/>
              </w:rPr>
            </w:pPr>
            <w:r w:rsidRPr="0055598C">
              <w:rPr>
                <w:rFonts w:cstheme="minorHAnsi"/>
                <w:b/>
                <w:bCs/>
              </w:rPr>
              <w:t>16.</w:t>
            </w:r>
          </w:p>
        </w:tc>
        <w:tc>
          <w:tcPr>
            <w:tcW w:w="3724" w:type="dxa"/>
          </w:tcPr>
          <w:p w14:paraId="131A52B6" w14:textId="1DB47694" w:rsidR="00C86FCA" w:rsidRPr="00DA193B" w:rsidRDefault="00C86FCA" w:rsidP="00C86FCA">
            <w:pPr>
              <w:rPr>
                <w:rFonts w:cstheme="minorHAnsi"/>
                <w:b/>
                <w:bCs/>
              </w:rPr>
            </w:pPr>
            <w:r w:rsidRPr="0040460B">
              <w:rPr>
                <w:rFonts w:cstheme="minorHAnsi"/>
                <w:b/>
                <w:bCs/>
              </w:rPr>
              <w:t>Bezpieczeństwo wdrażanych systemów informatycznych oraz przetwarzania danych zgodnie z obowiązującym prawem</w:t>
            </w:r>
          </w:p>
        </w:tc>
        <w:tc>
          <w:tcPr>
            <w:tcW w:w="7371" w:type="dxa"/>
          </w:tcPr>
          <w:p w14:paraId="441961BE" w14:textId="77777777" w:rsidR="00C86FCA" w:rsidRPr="0040460B" w:rsidRDefault="00C86FCA" w:rsidP="00C86FCA">
            <w:pPr>
              <w:pStyle w:val="Default"/>
              <w:rPr>
                <w:rFonts w:asciiTheme="minorHAnsi" w:hAnsiTheme="minorHAnsi" w:cstheme="minorHAnsi"/>
                <w:color w:val="auto"/>
                <w:sz w:val="22"/>
                <w:szCs w:val="22"/>
              </w:rPr>
            </w:pPr>
            <w:r w:rsidRPr="0040460B">
              <w:rPr>
                <w:rFonts w:asciiTheme="minorHAnsi" w:hAnsiTheme="minorHAnsi" w:cstheme="minorHAnsi"/>
                <w:color w:val="auto"/>
                <w:sz w:val="22"/>
                <w:szCs w:val="22"/>
              </w:rPr>
              <w:t xml:space="preserve">W ramach kryterium wnioskodawca powinien wykazać zgodność standardów bezpieczeństwa wdrażanych systemów informatycznych oraz przetwarzania danych zgodnie z obowiązującym prawem, tzn. wnioskodawca musi wykazać, że wszystkie systemy teleinformatyczne wdrożone w projekcie będą zapewniały bezpieczeństwo przetwarzania danych, zgodnie z zasadami wskazanymi w obowiązujących przepisach prawnych, tj. w oparciu o przepisy rozporządzenia Prezesa Rady Ministrów z dnia 20 lipca 2011 r. w sprawie podstawowych wymagań bezpieczeństwa teleinformatycznego (Dz.U. z 2011 r. nr 159 poz. 948) oraz w oparciu o przepisy ustawy z dnia 5 sierpnia 2010 r. o ochronie informacji niejawnych (Dz. U. z 2024 r. poz. 632). </w:t>
            </w:r>
          </w:p>
          <w:p w14:paraId="1CC7829A" w14:textId="77777777" w:rsidR="00C86FCA" w:rsidRPr="0040460B" w:rsidRDefault="00C86FCA" w:rsidP="00C86FCA">
            <w:pPr>
              <w:pStyle w:val="Default"/>
              <w:rPr>
                <w:rFonts w:asciiTheme="minorHAnsi" w:hAnsiTheme="minorHAnsi" w:cstheme="minorHAnsi"/>
                <w:color w:val="auto"/>
                <w:sz w:val="22"/>
                <w:szCs w:val="22"/>
              </w:rPr>
            </w:pPr>
            <w:r w:rsidRPr="0040460B">
              <w:rPr>
                <w:rFonts w:asciiTheme="minorHAnsi" w:hAnsiTheme="minorHAnsi" w:cstheme="minorHAnsi"/>
                <w:color w:val="auto"/>
                <w:sz w:val="22"/>
                <w:szCs w:val="22"/>
              </w:rPr>
              <w:t xml:space="preserve">Należy: </w:t>
            </w:r>
          </w:p>
          <w:p w14:paraId="2CEA19D9" w14:textId="77777777" w:rsidR="00C86FCA" w:rsidRPr="0040460B" w:rsidRDefault="00C86FCA" w:rsidP="00C86FCA">
            <w:pPr>
              <w:pStyle w:val="Default"/>
              <w:rPr>
                <w:rFonts w:asciiTheme="minorHAnsi" w:hAnsiTheme="minorHAnsi" w:cstheme="minorHAnsi"/>
                <w:color w:val="auto"/>
                <w:sz w:val="22"/>
                <w:szCs w:val="22"/>
              </w:rPr>
            </w:pPr>
            <w:r w:rsidRPr="0040460B">
              <w:rPr>
                <w:rFonts w:asciiTheme="minorHAnsi" w:hAnsiTheme="minorHAnsi" w:cstheme="minorHAnsi"/>
                <w:color w:val="auto"/>
                <w:sz w:val="22"/>
                <w:szCs w:val="22"/>
              </w:rPr>
              <w:t xml:space="preserve">- przedstawić klasyfikację przetwarzanych danych według stopnia wrażliwości: informacja publiczna, zwykłe dane osobowe, wrażliwe dane osobowe, informacje niejawne (zastrzeżone, poufne, tajne, ściśle tajne), </w:t>
            </w:r>
          </w:p>
          <w:p w14:paraId="2BEE73BF" w14:textId="77777777" w:rsidR="00C86FCA" w:rsidRPr="0040460B" w:rsidRDefault="00C86FCA" w:rsidP="00C86FCA">
            <w:pPr>
              <w:pStyle w:val="Default"/>
              <w:rPr>
                <w:rFonts w:asciiTheme="minorHAnsi" w:hAnsiTheme="minorHAnsi" w:cstheme="minorHAnsi"/>
                <w:color w:val="auto"/>
                <w:sz w:val="22"/>
                <w:szCs w:val="22"/>
              </w:rPr>
            </w:pPr>
            <w:r w:rsidRPr="0040460B">
              <w:rPr>
                <w:rFonts w:asciiTheme="minorHAnsi" w:hAnsiTheme="minorHAnsi" w:cstheme="minorHAnsi"/>
                <w:color w:val="auto"/>
                <w:sz w:val="22"/>
                <w:szCs w:val="22"/>
              </w:rPr>
              <w:t xml:space="preserve">- przedstawić opis mechanizmów służących: zapewnieniu bezpieczeństwa danych na każdym etapie cyklu życia usługi dla wszystkich usług objętych projektem; zapewnieniu ochrony danych osobowych, w tym danych podlegających szczególnej ochronie; zachowaniu tajemnic prawnie chronionych, </w:t>
            </w:r>
          </w:p>
          <w:p w14:paraId="141F5CFB" w14:textId="77777777" w:rsidR="00C86FCA" w:rsidRDefault="00C86FCA" w:rsidP="00C86FCA">
            <w:pPr>
              <w:ind w:left="31"/>
              <w:rPr>
                <w:rFonts w:cstheme="minorHAnsi"/>
              </w:rPr>
            </w:pPr>
            <w:r w:rsidRPr="0040460B">
              <w:rPr>
                <w:rFonts w:cstheme="minorHAnsi"/>
              </w:rPr>
              <w:t>- zadeklarować, że w ramach wdrożenia zaplanowano przeprowadzenie testów bezpieczeństwa systemu teleinformatycznego i wskazać odpowiednie zadania w harmonogramie realizacji projektu.</w:t>
            </w:r>
          </w:p>
          <w:p w14:paraId="73E3DC9E" w14:textId="75DB3F06" w:rsidR="00700D22" w:rsidRPr="00DA193B" w:rsidRDefault="00700D22" w:rsidP="00C86FCA">
            <w:pPr>
              <w:ind w:left="31"/>
              <w:rPr>
                <w:rFonts w:cstheme="minorHAnsi"/>
              </w:rPr>
            </w:pPr>
          </w:p>
        </w:tc>
        <w:tc>
          <w:tcPr>
            <w:tcW w:w="1701" w:type="dxa"/>
          </w:tcPr>
          <w:p w14:paraId="079384B3" w14:textId="00824C0D" w:rsidR="00C86FCA" w:rsidRPr="00DA193B" w:rsidRDefault="00C86FCA" w:rsidP="00C86FCA">
            <w:pPr>
              <w:jc w:val="center"/>
              <w:rPr>
                <w:rFonts w:cstheme="minorHAnsi"/>
              </w:rPr>
            </w:pPr>
            <w:r w:rsidRPr="00DA193B">
              <w:rPr>
                <w:rFonts w:cstheme="minorHAnsi"/>
              </w:rPr>
              <w:t>0/1</w:t>
            </w:r>
          </w:p>
        </w:tc>
        <w:tc>
          <w:tcPr>
            <w:tcW w:w="1417" w:type="dxa"/>
          </w:tcPr>
          <w:p w14:paraId="41567EB3" w14:textId="21AC38D6" w:rsidR="00C86FCA" w:rsidRPr="00DA193B" w:rsidRDefault="00C86FCA" w:rsidP="00C86FCA">
            <w:pPr>
              <w:jc w:val="center"/>
              <w:rPr>
                <w:rFonts w:cstheme="minorHAnsi"/>
              </w:rPr>
            </w:pPr>
            <w:r w:rsidRPr="00DA193B">
              <w:rPr>
                <w:rFonts w:cstheme="minorHAnsi"/>
              </w:rPr>
              <w:t>Tak</w:t>
            </w:r>
          </w:p>
        </w:tc>
      </w:tr>
      <w:tr w:rsidR="00C86FCA" w:rsidRPr="00DA193B" w14:paraId="6EB82CB8" w14:textId="77777777" w:rsidTr="00FE48A9">
        <w:tc>
          <w:tcPr>
            <w:tcW w:w="524" w:type="dxa"/>
          </w:tcPr>
          <w:p w14:paraId="7B62DB43" w14:textId="38E412B7" w:rsidR="00C86FCA" w:rsidRPr="0055598C" w:rsidRDefault="00C86FCA" w:rsidP="00C86FCA">
            <w:pPr>
              <w:rPr>
                <w:rFonts w:cstheme="minorHAnsi"/>
                <w:b/>
                <w:bCs/>
              </w:rPr>
            </w:pPr>
            <w:r w:rsidRPr="0055598C">
              <w:rPr>
                <w:rFonts w:cstheme="minorHAnsi"/>
                <w:b/>
                <w:bCs/>
              </w:rPr>
              <w:t>17.</w:t>
            </w:r>
          </w:p>
        </w:tc>
        <w:tc>
          <w:tcPr>
            <w:tcW w:w="3724" w:type="dxa"/>
          </w:tcPr>
          <w:p w14:paraId="1A82808E" w14:textId="61426F75" w:rsidR="00C86FCA" w:rsidRPr="00F72C17" w:rsidRDefault="00C86FCA" w:rsidP="00C86FCA">
            <w:pPr>
              <w:autoSpaceDE w:val="0"/>
              <w:autoSpaceDN w:val="0"/>
              <w:adjustRightInd w:val="0"/>
              <w:rPr>
                <w:rFonts w:cstheme="minorHAnsi"/>
                <w:b/>
                <w:bCs/>
                <w:kern w:val="0"/>
              </w:rPr>
            </w:pPr>
            <w:r w:rsidRPr="00F40B8D">
              <w:rPr>
                <w:rFonts w:cstheme="minorHAnsi"/>
                <w:b/>
                <w:bCs/>
                <w:kern w:val="0"/>
              </w:rPr>
              <w:t>Zapewnienie adekwatnego poziomu cyberbezpieczeństwa ochrony prywatności pacjenta</w:t>
            </w:r>
          </w:p>
        </w:tc>
        <w:tc>
          <w:tcPr>
            <w:tcW w:w="7371" w:type="dxa"/>
          </w:tcPr>
          <w:p w14:paraId="62405C51" w14:textId="72B3A97E" w:rsidR="00C86FCA" w:rsidRDefault="00C86FCA" w:rsidP="00C86FCA">
            <w:pPr>
              <w:rPr>
                <w:rFonts w:cs="Calibri"/>
              </w:rPr>
            </w:pPr>
            <w:r>
              <w:rPr>
                <w:rFonts w:cs="Calibri"/>
              </w:rPr>
              <w:t>W obszarze cyberbezpieczeństwa zostanie zapewniony adekwatny poziom cyberbezpieczeństwa ochrony prywatności pacjenta w zakresie rodzaju wdrożonych usług i rodzaju przetwarzanych danych</w:t>
            </w:r>
            <w:r w:rsidR="00A2253C">
              <w:rPr>
                <w:rFonts w:cs="Calibri"/>
              </w:rPr>
              <w:t xml:space="preserve"> </w:t>
            </w:r>
            <w:r w:rsidR="00A2253C" w:rsidRPr="0072635D">
              <w:rPr>
                <w:rFonts w:cs="Calibri"/>
                <w:i/>
                <w:iCs/>
              </w:rPr>
              <w:t>(w obszarach, których dotyczy projekt)</w:t>
            </w:r>
            <w:r w:rsidRPr="0072635D">
              <w:rPr>
                <w:rFonts w:cs="Calibri"/>
                <w:i/>
                <w:iCs/>
              </w:rPr>
              <w:t xml:space="preserve">, </w:t>
            </w:r>
            <w:r>
              <w:rPr>
                <w:rFonts w:cs="Calibri"/>
              </w:rPr>
              <w:t>w szczególności:</w:t>
            </w:r>
          </w:p>
          <w:p w14:paraId="5A226E49" w14:textId="77777777" w:rsidR="00C86FCA" w:rsidRDefault="00C86FCA" w:rsidP="00C86FCA">
            <w:pPr>
              <w:rPr>
                <w:rFonts w:cs="Calibri"/>
              </w:rPr>
            </w:pPr>
            <w:r>
              <w:rPr>
                <w:rFonts w:cs="Calibri"/>
              </w:rPr>
              <w:t>- Systemy teleinformatyczne świadczeniodawcy zapewnią dwuskładnikowe uwierzytelnienie wszystkich użytkowników;</w:t>
            </w:r>
          </w:p>
          <w:p w14:paraId="75EDBEB5" w14:textId="77777777" w:rsidR="00C86FCA" w:rsidRDefault="00C86FCA" w:rsidP="00C86FCA">
            <w:pPr>
              <w:rPr>
                <w:rFonts w:cs="Calibri"/>
              </w:rPr>
            </w:pPr>
            <w:r>
              <w:rPr>
                <w:rFonts w:cs="Calibri"/>
              </w:rPr>
              <w:lastRenderedPageBreak/>
              <w:t>- Firewall pozwalający analizować przesyłane pakiety pod względem ich treści wraz z wdrożeniem w infrastrukturze teleinformatycznej świadczeniodawcy przez osobę posiadającą kompetencje z zakresu bezpieczeństwa sieci.</w:t>
            </w:r>
          </w:p>
          <w:p w14:paraId="3CBA1DF0" w14:textId="77777777" w:rsidR="00C86FCA" w:rsidRDefault="00C86FCA" w:rsidP="00C86FCA">
            <w:pPr>
              <w:rPr>
                <w:rFonts w:cs="Calibri"/>
              </w:rPr>
            </w:pPr>
            <w:r>
              <w:rPr>
                <w:rFonts w:cs="Calibri"/>
              </w:rPr>
              <w:t xml:space="preserve">Efektem wdrożenia musi być wykonanie zewnętrznych skanów podatności, które wykażą brak podatności krytycznych oraz które mogą doprowadzić do incydentu poważnego w rozumieniu ustawy z dnia 5 lipca 2018 r. o krajowym systemie cyberbezpieczeństwa (Dz. U. z 2024 r. poz. 1077, z </w:t>
            </w:r>
            <w:proofErr w:type="spellStart"/>
            <w:r>
              <w:rPr>
                <w:rFonts w:cs="Calibri"/>
              </w:rPr>
              <w:t>późn</w:t>
            </w:r>
            <w:proofErr w:type="spellEnd"/>
            <w:r>
              <w:rPr>
                <w:rFonts w:cs="Calibri"/>
              </w:rPr>
              <w:t>. zm.). Wnioskodawca jest zobowiązany do utwardzania konfiguracji do momentu uzyskania tego efektu.</w:t>
            </w:r>
            <w:r>
              <w:t xml:space="preserve"> </w:t>
            </w:r>
            <w:r>
              <w:rPr>
                <w:rFonts w:cs="Calibri"/>
              </w:rPr>
              <w:t>Wyeliminowanie podatności musi być potwierdzone przez audyt bezpieczeństwa;</w:t>
            </w:r>
          </w:p>
          <w:p w14:paraId="4B1B6783" w14:textId="77777777" w:rsidR="00C86FCA" w:rsidRDefault="00C86FCA" w:rsidP="00C86FCA">
            <w:pPr>
              <w:rPr>
                <w:rFonts w:cs="Calibri"/>
              </w:rPr>
            </w:pPr>
            <w:r>
              <w:rPr>
                <w:rFonts w:cs="Calibri"/>
              </w:rPr>
              <w:t>- Podmiot wykonujący działalność leczniczą będzie miał wdrożony i utrzymywany system zarządzania bezpieczeństwem informacji opracowany i wdrożony na podstawie Polskiej Normy PN-ISO/IEC 27001 i ciągłością działania.</w:t>
            </w:r>
          </w:p>
          <w:p w14:paraId="755EF8EF" w14:textId="77777777" w:rsidR="00C86FCA" w:rsidRDefault="00C86FCA" w:rsidP="00C86FCA">
            <w:pPr>
              <w:rPr>
                <w:rFonts w:cs="Calibri"/>
              </w:rPr>
            </w:pPr>
            <w:r>
              <w:rPr>
                <w:rFonts w:cs="Calibri"/>
              </w:rPr>
              <w:t>Nadzór nad tym systemem jest sprawowany przez osobę, której zakres obowiązków nie budzi konfliktu interesów (np. nadzoru nie może sprawować komórka organizacyjna odpowiedzialna za IT);</w:t>
            </w:r>
          </w:p>
          <w:p w14:paraId="5780DBB0" w14:textId="77777777" w:rsidR="00C86FCA" w:rsidRDefault="00C86FCA" w:rsidP="00C86FCA">
            <w:pPr>
              <w:rPr>
                <w:rFonts w:cs="Calibri"/>
              </w:rPr>
            </w:pPr>
            <w:r>
              <w:rPr>
                <w:rFonts w:cs="Calibri"/>
              </w:rPr>
              <w:t>- System kopii bezpieczeństwa;</w:t>
            </w:r>
          </w:p>
          <w:p w14:paraId="0578DA50" w14:textId="77777777" w:rsidR="00C86FCA" w:rsidRDefault="00C86FCA" w:rsidP="00C86FCA">
            <w:pPr>
              <w:rPr>
                <w:rFonts w:cs="Calibri"/>
              </w:rPr>
            </w:pPr>
            <w:r>
              <w:rPr>
                <w:rFonts w:cs="Calibri"/>
              </w:rPr>
              <w:t>System kopii zapasowych musi umożliwiać realizację kopii zapasowej za pomocą streamera lub biblioteki taśmowej. Kopie te muszą być przechowywane w innej lokalizacji niż środowisko produkcyjne, np. inny budynek, a w przypadku braku takiej możliwości, w pomieszczeniu oddalonym od serwerowni. System ten powinien umożliwiać odtworzenie kopii zapasowej i testowe odtworzenie systemów w środowisku testowym. Cały proces musi być opisany procedurą stanowiącą element dokumentacji bezpieczeństwa. Możliwe jest również wdrożenie innego systemu wykonywania kopii zapasowych, który nie będzie oparty na taśmach magnetycznych, jednak musi on być skonfigurowany przez osobę posiadającą kompetencje z zakresu realizacji systemów kopii zapasowych, gwarantującą wykonanie skutecznych kopii zapasowych oraz konfigurację separacji sieciowej.</w:t>
            </w:r>
          </w:p>
          <w:p w14:paraId="085BEDB5" w14:textId="77777777" w:rsidR="00C86FCA" w:rsidRDefault="00C86FCA" w:rsidP="00C86FCA">
            <w:pPr>
              <w:rPr>
                <w:rFonts w:cs="Calibri"/>
              </w:rPr>
            </w:pPr>
            <w:r>
              <w:rPr>
                <w:rFonts w:cs="Calibri"/>
              </w:rPr>
              <w:t xml:space="preserve">Efektem realizacji musi być przeprowadzenie audytu systemu kopii zapasowej, którego wynik potwierdzi utworzenie </w:t>
            </w:r>
            <w:proofErr w:type="spellStart"/>
            <w:r>
              <w:rPr>
                <w:rFonts w:cs="Calibri"/>
              </w:rPr>
              <w:t>odmiejscowionej</w:t>
            </w:r>
            <w:proofErr w:type="spellEnd"/>
            <w:r>
              <w:rPr>
                <w:rFonts w:cs="Calibri"/>
              </w:rPr>
              <w:t xml:space="preserve"> kopii zapasowej i odtworzenie z niej kompletnego systemu oraz wykonanej dokumentacji</w:t>
            </w:r>
          </w:p>
          <w:p w14:paraId="49BAE689" w14:textId="77777777" w:rsidR="00C86FCA" w:rsidRDefault="00C86FCA" w:rsidP="00C86FCA">
            <w:pPr>
              <w:rPr>
                <w:rFonts w:cs="Calibri"/>
              </w:rPr>
            </w:pPr>
            <w:r>
              <w:rPr>
                <w:rFonts w:cs="Calibri"/>
              </w:rPr>
              <w:t>bezpieczeństwa;</w:t>
            </w:r>
          </w:p>
          <w:p w14:paraId="222AEEF0" w14:textId="77777777" w:rsidR="00C86FCA" w:rsidRDefault="00C86FCA" w:rsidP="00C86FCA">
            <w:pPr>
              <w:rPr>
                <w:rFonts w:cs="Calibri"/>
              </w:rPr>
            </w:pPr>
            <w:r>
              <w:rPr>
                <w:rFonts w:cs="Calibri"/>
              </w:rPr>
              <w:t>- Zapewnienie bezpieczeństwa poczty elektronicznej;</w:t>
            </w:r>
          </w:p>
          <w:p w14:paraId="641D2681" w14:textId="77777777" w:rsidR="00C86FCA" w:rsidRDefault="00C86FCA" w:rsidP="00C86FCA">
            <w:pPr>
              <w:rPr>
                <w:rFonts w:cs="Calibri"/>
              </w:rPr>
            </w:pPr>
            <w:r>
              <w:rPr>
                <w:rFonts w:cs="Calibri"/>
              </w:rPr>
              <w:lastRenderedPageBreak/>
              <w:t xml:space="preserve">System poczty elektronicznej wraz z systemem bezpieczeństwa, który będzie obejmował mechanizmy </w:t>
            </w:r>
            <w:proofErr w:type="spellStart"/>
            <w:r>
              <w:rPr>
                <w:rFonts w:cs="Calibri"/>
              </w:rPr>
              <w:t>SPF</w:t>
            </w:r>
            <w:proofErr w:type="spellEnd"/>
            <w:r>
              <w:rPr>
                <w:rFonts w:cs="Calibri"/>
              </w:rPr>
              <w:t xml:space="preserve">*, DMARC**, </w:t>
            </w:r>
            <w:proofErr w:type="spellStart"/>
            <w:r>
              <w:rPr>
                <w:rFonts w:cs="Calibri"/>
              </w:rPr>
              <w:t>DKIM</w:t>
            </w:r>
            <w:proofErr w:type="spellEnd"/>
            <w:r>
              <w:rPr>
                <w:rFonts w:cs="Calibri"/>
              </w:rPr>
              <w:t>***, antyspam oraz ochronę antywirusową.</w:t>
            </w:r>
          </w:p>
          <w:p w14:paraId="4D5B2157" w14:textId="77777777" w:rsidR="00C86FCA" w:rsidRDefault="00C86FCA" w:rsidP="00C86FCA">
            <w:pPr>
              <w:rPr>
                <w:rFonts w:cs="Calibri"/>
              </w:rPr>
            </w:pPr>
            <w:r>
              <w:rPr>
                <w:rFonts w:cs="Calibri"/>
              </w:rPr>
              <w:t xml:space="preserve">Efektem realizacji musi być przeprowadzenie audytu systemu poczty elektronicznej, którego wynik potwierdzi skuteczność wdrożenia </w:t>
            </w:r>
            <w:proofErr w:type="spellStart"/>
            <w:r>
              <w:rPr>
                <w:rFonts w:cs="Calibri"/>
              </w:rPr>
              <w:t>SPF</w:t>
            </w:r>
            <w:proofErr w:type="spellEnd"/>
            <w:r>
              <w:rPr>
                <w:rFonts w:cs="Calibri"/>
              </w:rPr>
              <w:t xml:space="preserve">, DMARC, </w:t>
            </w:r>
            <w:proofErr w:type="spellStart"/>
            <w:r>
              <w:rPr>
                <w:rFonts w:cs="Calibri"/>
              </w:rPr>
              <w:t>DKIM</w:t>
            </w:r>
            <w:proofErr w:type="spellEnd"/>
            <w:r>
              <w:rPr>
                <w:rFonts w:cs="Calibri"/>
              </w:rPr>
              <w:t>, antyspam oraz ochronę antywirusową;</w:t>
            </w:r>
          </w:p>
          <w:p w14:paraId="3C1AF7D3" w14:textId="77777777" w:rsidR="00C86FCA" w:rsidRDefault="00C86FCA" w:rsidP="00C86FCA">
            <w:pPr>
              <w:pStyle w:val="Akapitzlist"/>
              <w:keepNext/>
              <w:keepLines/>
              <w:shd w:val="clear" w:color="auto" w:fill="FFFFFF"/>
              <w:spacing w:after="0"/>
              <w:ind w:left="0"/>
              <w:outlineLvl w:val="2"/>
              <w:rPr>
                <w:rFonts w:eastAsia="MS Mincho" w:cs="Calibri"/>
                <w:vertAlign w:val="superscript"/>
              </w:rPr>
            </w:pPr>
            <w:r>
              <w:rPr>
                <w:rFonts w:eastAsia="MS Mincho" w:cs="Calibri"/>
                <w:vertAlign w:val="superscript"/>
              </w:rPr>
              <w:t xml:space="preserve">* </w:t>
            </w:r>
            <w:proofErr w:type="spellStart"/>
            <w:r>
              <w:rPr>
                <w:rFonts w:eastAsia="MS Mincho" w:cs="Calibri"/>
                <w:vertAlign w:val="superscript"/>
              </w:rPr>
              <w:t>Sender</w:t>
            </w:r>
            <w:proofErr w:type="spellEnd"/>
            <w:r>
              <w:rPr>
                <w:rFonts w:eastAsia="MS Mincho" w:cs="Calibri"/>
                <w:vertAlign w:val="superscript"/>
              </w:rPr>
              <w:t xml:space="preserve"> Policy Framework - niekomercyjny projekt mający na celu wprowadzenie zabezpieczenia serwerów SMTP przed przyjmowaniem poczty z niedozwolonych źródeł. Ma to pozytywnie wpłynąć na ograniczenie liczby wiadomości mailowych będących spamem</w:t>
            </w:r>
          </w:p>
          <w:p w14:paraId="71A21EBC" w14:textId="77777777" w:rsidR="00C86FCA" w:rsidRDefault="00C86FCA" w:rsidP="00C86FCA">
            <w:pPr>
              <w:pStyle w:val="Akapitzlist"/>
              <w:keepNext/>
              <w:keepLines/>
              <w:shd w:val="clear" w:color="auto" w:fill="FFFFFF"/>
              <w:spacing w:after="0"/>
              <w:ind w:left="0"/>
              <w:outlineLvl w:val="2"/>
              <w:rPr>
                <w:rFonts w:eastAsia="MS Mincho" w:cs="Calibri"/>
                <w:vertAlign w:val="superscript"/>
              </w:rPr>
            </w:pPr>
            <w:r>
              <w:rPr>
                <w:rFonts w:eastAsia="MS Mincho" w:cs="Calibri"/>
                <w:vertAlign w:val="superscript"/>
              </w:rPr>
              <w:t xml:space="preserve">** </w:t>
            </w:r>
            <w:proofErr w:type="spellStart"/>
            <w:r>
              <w:rPr>
                <w:rFonts w:eastAsia="MS Mincho" w:cs="Calibri"/>
                <w:vertAlign w:val="superscript"/>
              </w:rPr>
              <w:t>Domain-based</w:t>
            </w:r>
            <w:proofErr w:type="spellEnd"/>
            <w:r>
              <w:rPr>
                <w:rFonts w:eastAsia="MS Mincho" w:cs="Calibri"/>
                <w:vertAlign w:val="superscript"/>
              </w:rPr>
              <w:t xml:space="preserve"> Message </w:t>
            </w:r>
            <w:proofErr w:type="spellStart"/>
            <w:r>
              <w:rPr>
                <w:rFonts w:eastAsia="MS Mincho" w:cs="Calibri"/>
                <w:vertAlign w:val="superscript"/>
              </w:rPr>
              <w:t>Authentication</w:t>
            </w:r>
            <w:proofErr w:type="spellEnd"/>
            <w:r>
              <w:rPr>
                <w:rFonts w:eastAsia="MS Mincho" w:cs="Calibri"/>
                <w:vertAlign w:val="superscript"/>
              </w:rPr>
              <w:t xml:space="preserve"> Reporting and </w:t>
            </w:r>
            <w:proofErr w:type="spellStart"/>
            <w:r>
              <w:rPr>
                <w:rFonts w:eastAsia="MS Mincho" w:cs="Calibri"/>
                <w:vertAlign w:val="superscript"/>
              </w:rPr>
              <w:t>Conformance</w:t>
            </w:r>
            <w:proofErr w:type="spellEnd"/>
            <w:r>
              <w:rPr>
                <w:rFonts w:eastAsia="MS Mincho" w:cs="Calibri"/>
                <w:vertAlign w:val="superscript"/>
              </w:rPr>
              <w:t xml:space="preserve"> - możliwość ochrony domeny przed nieautoryzowanym użyciem, powszechnie znanym jako fałszowanie wiadomości e-mail</w:t>
            </w:r>
          </w:p>
          <w:p w14:paraId="7381FE44" w14:textId="77777777" w:rsidR="00C86FCA" w:rsidRDefault="00C86FCA" w:rsidP="00C86FCA">
            <w:pPr>
              <w:pStyle w:val="Akapitzlist"/>
              <w:keepNext/>
              <w:keepLines/>
              <w:shd w:val="clear" w:color="auto" w:fill="FFFFFF"/>
              <w:spacing w:after="0"/>
              <w:ind w:left="0"/>
              <w:outlineLvl w:val="2"/>
              <w:rPr>
                <w:rFonts w:eastAsia="MS Mincho" w:cs="Calibri"/>
                <w:vertAlign w:val="superscript"/>
              </w:rPr>
            </w:pPr>
            <w:r>
              <w:rPr>
                <w:rFonts w:eastAsia="MS Mincho" w:cs="Calibri"/>
                <w:vertAlign w:val="superscript"/>
              </w:rPr>
              <w:t xml:space="preserve">*** </w:t>
            </w:r>
            <w:proofErr w:type="spellStart"/>
            <w:r>
              <w:rPr>
                <w:rFonts w:eastAsia="MS Mincho" w:cs="Calibri"/>
                <w:vertAlign w:val="superscript"/>
              </w:rPr>
              <w:t>Domain</w:t>
            </w:r>
            <w:proofErr w:type="spellEnd"/>
            <w:r>
              <w:rPr>
                <w:rFonts w:eastAsia="MS Mincho" w:cs="Calibri"/>
                <w:vertAlign w:val="superscript"/>
              </w:rPr>
              <w:t xml:space="preserve"> </w:t>
            </w:r>
            <w:proofErr w:type="spellStart"/>
            <w:r>
              <w:rPr>
                <w:rFonts w:eastAsia="MS Mincho" w:cs="Calibri"/>
                <w:vertAlign w:val="superscript"/>
              </w:rPr>
              <w:t>Keys</w:t>
            </w:r>
            <w:proofErr w:type="spellEnd"/>
            <w:r>
              <w:rPr>
                <w:rFonts w:eastAsia="MS Mincho" w:cs="Calibri"/>
                <w:vertAlign w:val="superscript"/>
              </w:rPr>
              <w:t xml:space="preserve"> </w:t>
            </w:r>
            <w:proofErr w:type="spellStart"/>
            <w:r>
              <w:rPr>
                <w:rFonts w:eastAsia="MS Mincho" w:cs="Calibri"/>
                <w:vertAlign w:val="superscript"/>
              </w:rPr>
              <w:t>Identified</w:t>
            </w:r>
            <w:proofErr w:type="spellEnd"/>
            <w:r>
              <w:rPr>
                <w:rFonts w:eastAsia="MS Mincho" w:cs="Calibri"/>
                <w:vertAlign w:val="superscript"/>
              </w:rPr>
              <w:t xml:space="preserve"> Mail - metoda łączenia domeny internetowej z wiadomością e-mail, która pozwala organizacji brać odpowiedzialność za treść e-maila. Sygnatura DKIM zabezpiecza przed podszywaniem się pod nadawcę z innych domen</w:t>
            </w:r>
          </w:p>
          <w:p w14:paraId="5D046D2A" w14:textId="77777777" w:rsidR="00C86FCA" w:rsidRDefault="00C86FCA" w:rsidP="00C86FCA">
            <w:pPr>
              <w:pStyle w:val="Akapitzlist"/>
              <w:keepNext/>
              <w:keepLines/>
              <w:shd w:val="clear" w:color="auto" w:fill="FFFFFF"/>
              <w:spacing w:after="0"/>
              <w:ind w:left="0"/>
              <w:outlineLvl w:val="2"/>
              <w:rPr>
                <w:rFonts w:eastAsia="Times New Roman" w:cs="Calibri"/>
                <w:lang w:eastAsia="pl-PL"/>
              </w:rPr>
            </w:pPr>
            <w:r>
              <w:rPr>
                <w:rFonts w:eastAsia="Times New Roman" w:cs="Calibri"/>
                <w:lang w:eastAsia="pl-PL"/>
              </w:rPr>
              <w:t xml:space="preserve">- Został zainstalowany system </w:t>
            </w:r>
            <w:proofErr w:type="spellStart"/>
            <w:r>
              <w:rPr>
                <w:rFonts w:eastAsia="Times New Roman" w:cs="Calibri"/>
                <w:lang w:eastAsia="pl-PL"/>
              </w:rPr>
              <w:t>Endpoint</w:t>
            </w:r>
            <w:proofErr w:type="spellEnd"/>
            <w:r>
              <w:rPr>
                <w:rFonts w:eastAsia="Times New Roman" w:cs="Calibri"/>
                <w:lang w:eastAsia="pl-PL"/>
              </w:rPr>
              <w:t xml:space="preserve"> </w:t>
            </w:r>
            <w:proofErr w:type="spellStart"/>
            <w:r>
              <w:rPr>
                <w:rFonts w:eastAsia="Times New Roman" w:cs="Calibri"/>
                <w:lang w:eastAsia="pl-PL"/>
              </w:rPr>
              <w:t>Detection</w:t>
            </w:r>
            <w:proofErr w:type="spellEnd"/>
            <w:r>
              <w:rPr>
                <w:rFonts w:eastAsia="Times New Roman" w:cs="Calibri"/>
                <w:lang w:eastAsia="pl-PL"/>
              </w:rPr>
              <w:t xml:space="preserve"> and </w:t>
            </w:r>
            <w:proofErr w:type="spellStart"/>
            <w:r>
              <w:rPr>
                <w:rFonts w:eastAsia="Times New Roman" w:cs="Calibri"/>
                <w:lang w:eastAsia="pl-PL"/>
              </w:rPr>
              <w:t>Response</w:t>
            </w:r>
            <w:proofErr w:type="spellEnd"/>
            <w:r>
              <w:rPr>
                <w:rFonts w:eastAsia="Times New Roman" w:cs="Calibri"/>
                <w:lang w:eastAsia="pl-PL"/>
              </w:rPr>
              <w:t xml:space="preserve"> na stacjach roboczych i serwerach, oparty na rozwiązaniach co najmniej klasy </w:t>
            </w:r>
            <w:proofErr w:type="spellStart"/>
            <w:r>
              <w:rPr>
                <w:rFonts w:eastAsia="Times New Roman" w:cs="Calibri"/>
                <w:lang w:eastAsia="pl-PL"/>
              </w:rPr>
              <w:t>Endpoint</w:t>
            </w:r>
            <w:proofErr w:type="spellEnd"/>
            <w:r>
              <w:rPr>
                <w:rFonts w:eastAsia="Times New Roman" w:cs="Calibri"/>
                <w:lang w:eastAsia="pl-PL"/>
              </w:rPr>
              <w:t xml:space="preserve"> </w:t>
            </w:r>
            <w:proofErr w:type="spellStart"/>
            <w:r>
              <w:rPr>
                <w:rFonts w:eastAsia="Times New Roman" w:cs="Calibri"/>
                <w:lang w:eastAsia="pl-PL"/>
              </w:rPr>
              <w:t>Detection</w:t>
            </w:r>
            <w:proofErr w:type="spellEnd"/>
            <w:r>
              <w:rPr>
                <w:rFonts w:eastAsia="Times New Roman" w:cs="Calibri"/>
                <w:lang w:eastAsia="pl-PL"/>
              </w:rPr>
              <w:t xml:space="preserve"> and </w:t>
            </w:r>
            <w:proofErr w:type="spellStart"/>
            <w:r>
              <w:rPr>
                <w:rFonts w:eastAsia="Times New Roman" w:cs="Calibri"/>
                <w:lang w:eastAsia="pl-PL"/>
              </w:rPr>
              <w:t>Response</w:t>
            </w:r>
            <w:proofErr w:type="spellEnd"/>
            <w:r>
              <w:rPr>
                <w:rFonts w:eastAsia="Times New Roman" w:cs="Calibri"/>
                <w:lang w:eastAsia="pl-PL"/>
              </w:rPr>
              <w:t xml:space="preserve"> w architekturze klient – serwer na wszystkich stacjach roboczych oraz serwerach świadczeniodawcy wraz z wdrożeniem w infrastrukturze teleinformatycznej świadczeniodawcy przez osobę posiadającą</w:t>
            </w:r>
          </w:p>
          <w:p w14:paraId="0DDCC4D8" w14:textId="77777777" w:rsidR="00C86FCA" w:rsidRDefault="00C86FCA" w:rsidP="00C86FCA">
            <w:pPr>
              <w:pStyle w:val="Akapitzlist"/>
              <w:keepNext/>
              <w:keepLines/>
              <w:shd w:val="clear" w:color="auto" w:fill="FFFFFF"/>
              <w:spacing w:after="0"/>
              <w:ind w:left="0"/>
              <w:outlineLvl w:val="2"/>
              <w:rPr>
                <w:rFonts w:eastAsia="Times New Roman" w:cs="Calibri"/>
                <w:lang w:eastAsia="pl-PL"/>
              </w:rPr>
            </w:pPr>
            <w:r>
              <w:rPr>
                <w:rFonts w:eastAsia="Times New Roman" w:cs="Calibri"/>
                <w:lang w:eastAsia="pl-PL"/>
              </w:rPr>
              <w:t>kompetencje z zakresu realizacji systemów antywirusowych.</w:t>
            </w:r>
          </w:p>
          <w:p w14:paraId="69784B1D" w14:textId="77777777" w:rsidR="00C86FCA" w:rsidRDefault="00C86FCA" w:rsidP="00C86FCA">
            <w:pPr>
              <w:pStyle w:val="Akapitzlist"/>
              <w:keepNext/>
              <w:keepLines/>
              <w:shd w:val="clear" w:color="auto" w:fill="FFFFFF"/>
              <w:spacing w:after="0"/>
              <w:ind w:left="0"/>
              <w:outlineLvl w:val="2"/>
              <w:rPr>
                <w:rFonts w:eastAsia="Times New Roman" w:cs="Calibri"/>
                <w:lang w:eastAsia="pl-PL"/>
              </w:rPr>
            </w:pPr>
            <w:r>
              <w:rPr>
                <w:rFonts w:eastAsia="Times New Roman" w:cs="Calibri"/>
                <w:lang w:eastAsia="pl-PL"/>
              </w:rPr>
              <w:t xml:space="preserve">Efektem realizacji musi być przeprowadzenie audytu systemu </w:t>
            </w:r>
            <w:proofErr w:type="spellStart"/>
            <w:r>
              <w:rPr>
                <w:rFonts w:eastAsia="Times New Roman" w:cs="Calibri"/>
                <w:lang w:eastAsia="pl-PL"/>
              </w:rPr>
              <w:t>Endpoint</w:t>
            </w:r>
            <w:proofErr w:type="spellEnd"/>
            <w:r>
              <w:rPr>
                <w:rFonts w:eastAsia="Times New Roman" w:cs="Calibri"/>
                <w:lang w:eastAsia="pl-PL"/>
              </w:rPr>
              <w:t xml:space="preserve"> </w:t>
            </w:r>
            <w:proofErr w:type="spellStart"/>
            <w:r>
              <w:rPr>
                <w:rFonts w:eastAsia="Times New Roman" w:cs="Calibri"/>
                <w:lang w:eastAsia="pl-PL"/>
              </w:rPr>
              <w:t>Detection</w:t>
            </w:r>
            <w:proofErr w:type="spellEnd"/>
            <w:r>
              <w:rPr>
                <w:rFonts w:eastAsia="Times New Roman" w:cs="Calibri"/>
                <w:lang w:eastAsia="pl-PL"/>
              </w:rPr>
              <w:t xml:space="preserve"> and </w:t>
            </w:r>
            <w:proofErr w:type="spellStart"/>
            <w:r>
              <w:rPr>
                <w:rFonts w:eastAsia="Times New Roman" w:cs="Calibri"/>
                <w:lang w:eastAsia="pl-PL"/>
              </w:rPr>
              <w:t>Response</w:t>
            </w:r>
            <w:proofErr w:type="spellEnd"/>
            <w:r>
              <w:rPr>
                <w:rFonts w:eastAsia="Times New Roman" w:cs="Calibri"/>
                <w:lang w:eastAsia="pl-PL"/>
              </w:rPr>
              <w:t>, na wszystkich stacjach roboczych oraz serwerach świadczeniodawcy, który potwierdzi prawidłowość wdrożenia systemu;</w:t>
            </w:r>
          </w:p>
          <w:p w14:paraId="46E67DAA" w14:textId="77777777" w:rsidR="00C86FCA" w:rsidRDefault="00C86FCA" w:rsidP="00C86FCA">
            <w:pPr>
              <w:keepNext/>
              <w:keepLines/>
              <w:shd w:val="clear" w:color="auto" w:fill="FFFFFF"/>
              <w:outlineLvl w:val="2"/>
              <w:rPr>
                <w:rFonts w:eastAsia="Times New Roman" w:cs="Calibri"/>
                <w:lang w:eastAsia="pl-PL"/>
              </w:rPr>
            </w:pPr>
            <w:r>
              <w:rPr>
                <w:rFonts w:eastAsia="Times New Roman" w:cs="Calibri"/>
                <w:lang w:eastAsia="pl-PL"/>
              </w:rPr>
              <w:t>- Zostaną przeprowadzone skany podatności oraz testy penetracyjne wewnętrznych systemów usługodawców. W wyniku powyższych działań zostaną przeprowadzone konfiguracje, mające na celu usunięcie wykrytych podatności (utwardzenie systemów);</w:t>
            </w:r>
          </w:p>
          <w:p w14:paraId="136FAC57" w14:textId="77777777" w:rsidR="00C86FCA" w:rsidRDefault="00C86FCA" w:rsidP="00C86FCA">
            <w:pPr>
              <w:keepNext/>
              <w:keepLines/>
              <w:shd w:val="clear" w:color="auto" w:fill="FFFFFF"/>
              <w:outlineLvl w:val="2"/>
              <w:rPr>
                <w:rFonts w:eastAsia="Times New Roman" w:cs="Calibri"/>
                <w:lang w:eastAsia="pl-PL"/>
              </w:rPr>
            </w:pPr>
            <w:r>
              <w:rPr>
                <w:rFonts w:eastAsia="Times New Roman" w:cs="Calibri"/>
                <w:lang w:eastAsia="pl-PL"/>
              </w:rPr>
              <w:t>- Systemy teleinformatyczne usługodawcy zapewnią zgodność</w:t>
            </w:r>
            <w:r>
              <w:rPr>
                <w:rFonts w:eastAsia="Times New Roman" w:cs="Calibri"/>
                <w:lang w:eastAsia="pl-PL"/>
              </w:rPr>
              <w:br/>
              <w:t>z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eastAsia="Times New Roman" w:cs="Calibri"/>
                <w:lang w:eastAsia="pl-PL"/>
              </w:rPr>
              <w:t>Dz.Urz</w:t>
            </w:r>
            <w:proofErr w:type="spellEnd"/>
            <w:r>
              <w:rPr>
                <w:rFonts w:eastAsia="Times New Roman" w:cs="Calibri"/>
                <w:lang w:eastAsia="pl-PL"/>
              </w:rPr>
              <w:t xml:space="preserve">. UE L 119 z 04.05.2016, str. 1, z </w:t>
            </w:r>
            <w:proofErr w:type="spellStart"/>
            <w:r>
              <w:rPr>
                <w:rFonts w:eastAsia="Times New Roman" w:cs="Calibri"/>
                <w:lang w:eastAsia="pl-PL"/>
              </w:rPr>
              <w:t>późn</w:t>
            </w:r>
            <w:proofErr w:type="spellEnd"/>
            <w:r>
              <w:rPr>
                <w:rFonts w:eastAsia="Times New Roman" w:cs="Calibri"/>
                <w:lang w:eastAsia="pl-PL"/>
              </w:rPr>
              <w:t>. zm.);</w:t>
            </w:r>
          </w:p>
          <w:p w14:paraId="3E334751" w14:textId="77777777" w:rsidR="00C86FCA" w:rsidRDefault="00C86FCA" w:rsidP="00C86FCA">
            <w:pPr>
              <w:rPr>
                <w:rFonts w:cs="Calibri"/>
              </w:rPr>
            </w:pPr>
            <w:r>
              <w:rPr>
                <w:rFonts w:cs="Calibri"/>
              </w:rPr>
              <w:t>- Zapewniono zgodność z narodowymi standardami cyberbezpieczeństwa*:</w:t>
            </w:r>
          </w:p>
          <w:p w14:paraId="5043D3BA" w14:textId="77777777" w:rsidR="00C86FCA" w:rsidRDefault="00C86FCA" w:rsidP="00C86FCA">
            <w:pPr>
              <w:rPr>
                <w:rFonts w:cs="Calibri"/>
              </w:rPr>
            </w:pPr>
            <w:r>
              <w:rPr>
                <w:rFonts w:cs="Calibri"/>
              </w:rPr>
              <w:lastRenderedPageBreak/>
              <w:t>a) NSC 200, Minimalne wymagania bezpieczeństwa informacji i systemów informacyjnych podmiotów publicznych,</w:t>
            </w:r>
          </w:p>
          <w:p w14:paraId="551E7696" w14:textId="77777777" w:rsidR="00C86FCA" w:rsidRDefault="00C86FCA" w:rsidP="00C86FCA">
            <w:pPr>
              <w:rPr>
                <w:rFonts w:cs="Calibri"/>
              </w:rPr>
            </w:pPr>
            <w:r>
              <w:rPr>
                <w:rFonts w:cs="Calibri"/>
              </w:rPr>
              <w:t>b) NSC 800-53, Zabezpieczenia i ochrona prywatności systemów</w:t>
            </w:r>
          </w:p>
          <w:p w14:paraId="0CB8478A" w14:textId="77777777" w:rsidR="00C86FCA" w:rsidRDefault="00C86FCA" w:rsidP="00C86FCA">
            <w:pPr>
              <w:rPr>
                <w:rFonts w:cs="Calibri"/>
              </w:rPr>
            </w:pPr>
            <w:r>
              <w:rPr>
                <w:rFonts w:cs="Calibri"/>
              </w:rPr>
              <w:t>informacyjnych oraz organizacji;</w:t>
            </w:r>
          </w:p>
          <w:p w14:paraId="0F82F6D8" w14:textId="77777777" w:rsidR="00700D22" w:rsidRDefault="00700D22" w:rsidP="00C86FCA">
            <w:pPr>
              <w:rPr>
                <w:rFonts w:cs="Calibri"/>
              </w:rPr>
            </w:pPr>
          </w:p>
          <w:p w14:paraId="149D33F4" w14:textId="77777777" w:rsidR="00C86FCA" w:rsidRDefault="00C86FCA" w:rsidP="00C86FCA">
            <w:pPr>
              <w:pStyle w:val="Akapitzlist"/>
              <w:keepNext/>
              <w:keepLines/>
              <w:shd w:val="clear" w:color="auto" w:fill="FFFFFF"/>
              <w:spacing w:after="0"/>
              <w:ind w:left="0"/>
              <w:outlineLvl w:val="2"/>
              <w:rPr>
                <w:rFonts w:eastAsia="MS Mincho" w:cs="Calibri"/>
                <w:vertAlign w:val="superscript"/>
              </w:rPr>
            </w:pPr>
            <w:r>
              <w:rPr>
                <w:rFonts w:cs="Calibri"/>
              </w:rPr>
              <w:t xml:space="preserve">* </w:t>
            </w:r>
            <w:r>
              <w:rPr>
                <w:rFonts w:eastAsia="MS Mincho" w:cs="Calibri"/>
                <w:vertAlign w:val="superscript"/>
              </w:rPr>
              <w:t>Narodowe Standardy Cyberbezpieczeństwa (NSC), to zbiór rekomendacji standaryzujących rozwiązania zabezpieczające w sieciach i systemach informacyjnych wykorzystywanych przez podmioty chcące efektywnie zarządzać systemami bezpieczeństwa informacji. Zawierają one wytyczne w zakresie budowanie efektywnego systemu zarządzania bezpieczeństwem informacji w oparciu o praktykę stosowaną w administracji federalnej USA. Są one wydawane przez Pełnomocnika Rządu do spraw Cyberbezpieczeństwa, w ramach celu szczegółowego 2 Strategii Cyberbezpieczeństwa Rzeczypospolitej Polskiej na lata 2019–2024.</w:t>
            </w:r>
          </w:p>
          <w:p w14:paraId="6DDEE1AB" w14:textId="77777777" w:rsidR="00C86FCA" w:rsidRDefault="00C86FCA" w:rsidP="00C86FCA">
            <w:pPr>
              <w:rPr>
                <w:rFonts w:cs="Calibri"/>
              </w:rPr>
            </w:pPr>
            <w:r>
              <w:rPr>
                <w:rFonts w:cs="Calibri"/>
              </w:rPr>
              <w:t>- Ustanawianie zabezpieczeń, zarządzanie ryzykiem oraz audytowanie będzie odbywało się na podstawie Polskich Norm związanych z tą normą, w tym:</w:t>
            </w:r>
          </w:p>
          <w:p w14:paraId="1A8448A5" w14:textId="77777777" w:rsidR="00C86FCA" w:rsidRDefault="00C86FCA" w:rsidP="00C86FCA">
            <w:pPr>
              <w:rPr>
                <w:rFonts w:cs="Calibri"/>
              </w:rPr>
            </w:pPr>
            <w:r>
              <w:rPr>
                <w:rFonts w:cs="Calibri"/>
              </w:rPr>
              <w:t>a) PN-ISO/IEC 27002 – w odniesieniu do ustanawiania zabezpieczeń;</w:t>
            </w:r>
          </w:p>
          <w:p w14:paraId="14EA3D1B" w14:textId="77777777" w:rsidR="00C86FCA" w:rsidRDefault="00C86FCA" w:rsidP="00C86FCA">
            <w:pPr>
              <w:rPr>
                <w:rFonts w:cs="Calibri"/>
              </w:rPr>
            </w:pPr>
            <w:r>
              <w:rPr>
                <w:rFonts w:cs="Calibri"/>
              </w:rPr>
              <w:t>b) PN-ISO/IEC 27005 – w odniesieniu do zarządzania ryzykiem.</w:t>
            </w:r>
          </w:p>
          <w:p w14:paraId="1B8A9657" w14:textId="5FE3AE97" w:rsidR="00700D22" w:rsidRPr="00F72C17" w:rsidRDefault="00700D22" w:rsidP="00C86FCA">
            <w:pPr>
              <w:rPr>
                <w:rFonts w:cstheme="minorHAnsi"/>
              </w:rPr>
            </w:pPr>
          </w:p>
        </w:tc>
        <w:tc>
          <w:tcPr>
            <w:tcW w:w="1701" w:type="dxa"/>
          </w:tcPr>
          <w:p w14:paraId="2EB63769" w14:textId="5E7A211D" w:rsidR="00C86FCA" w:rsidRPr="00DA193B" w:rsidRDefault="00C86FCA" w:rsidP="00C86FCA">
            <w:pPr>
              <w:jc w:val="center"/>
              <w:rPr>
                <w:rFonts w:cstheme="minorHAnsi"/>
              </w:rPr>
            </w:pPr>
            <w:r w:rsidRPr="00DA193B">
              <w:rPr>
                <w:rFonts w:cstheme="minorHAnsi"/>
              </w:rPr>
              <w:lastRenderedPageBreak/>
              <w:t>0/1</w:t>
            </w:r>
          </w:p>
        </w:tc>
        <w:tc>
          <w:tcPr>
            <w:tcW w:w="1417" w:type="dxa"/>
          </w:tcPr>
          <w:p w14:paraId="1F788CA4" w14:textId="0E5548C7" w:rsidR="00C86FCA" w:rsidRPr="00DA193B" w:rsidRDefault="00C86FCA" w:rsidP="00C86FCA">
            <w:pPr>
              <w:jc w:val="center"/>
              <w:rPr>
                <w:rFonts w:cstheme="minorHAnsi"/>
              </w:rPr>
            </w:pPr>
            <w:r w:rsidRPr="00DA193B">
              <w:rPr>
                <w:rFonts w:cstheme="minorHAnsi"/>
              </w:rPr>
              <w:t>Tak</w:t>
            </w:r>
          </w:p>
        </w:tc>
      </w:tr>
      <w:tr w:rsidR="00C86FCA" w:rsidRPr="00DA193B" w14:paraId="0B44F53C" w14:textId="77777777" w:rsidTr="00FE48A9">
        <w:tc>
          <w:tcPr>
            <w:tcW w:w="524" w:type="dxa"/>
          </w:tcPr>
          <w:p w14:paraId="587E8928" w14:textId="20AED963" w:rsidR="00C86FCA" w:rsidRPr="006F599F" w:rsidRDefault="00C86FCA" w:rsidP="00C86FCA">
            <w:pPr>
              <w:rPr>
                <w:rFonts w:cstheme="minorHAnsi"/>
                <w:b/>
                <w:bCs/>
              </w:rPr>
            </w:pPr>
            <w:r w:rsidRPr="006F599F">
              <w:rPr>
                <w:rFonts w:cstheme="minorHAnsi"/>
                <w:b/>
                <w:bCs/>
              </w:rPr>
              <w:lastRenderedPageBreak/>
              <w:t>18.</w:t>
            </w:r>
          </w:p>
        </w:tc>
        <w:tc>
          <w:tcPr>
            <w:tcW w:w="3724" w:type="dxa"/>
          </w:tcPr>
          <w:p w14:paraId="0960A790" w14:textId="4CE3E5BB" w:rsidR="00C86FCA" w:rsidRPr="00DA193B" w:rsidRDefault="00C86FCA" w:rsidP="00C86FCA">
            <w:pPr>
              <w:rPr>
                <w:rFonts w:cstheme="minorHAnsi"/>
                <w:b/>
                <w:bCs/>
              </w:rPr>
            </w:pPr>
            <w:r w:rsidRPr="00BC2614">
              <w:rPr>
                <w:rFonts w:cstheme="minorHAnsi"/>
                <w:b/>
                <w:bCs/>
              </w:rPr>
              <w:t>Współdziałanie z innymi istniejącymi, ogólnodostępnymi e-usługami</w:t>
            </w:r>
          </w:p>
        </w:tc>
        <w:tc>
          <w:tcPr>
            <w:tcW w:w="7371" w:type="dxa"/>
          </w:tcPr>
          <w:p w14:paraId="4E470E6A" w14:textId="77777777" w:rsidR="00C86FCA" w:rsidRDefault="00C86FCA" w:rsidP="00C86FCA">
            <w:pPr>
              <w:rPr>
                <w:rFonts w:cstheme="minorHAnsi"/>
              </w:rPr>
            </w:pPr>
            <w:r w:rsidRPr="00BC2614">
              <w:rPr>
                <w:rFonts w:cstheme="minorHAnsi"/>
              </w:rPr>
              <w:t>W ramach kryterium wnioskodawca powinien wykazać czy wdrażane e-usługi współdziałają z funkcjonującymi już ogólnodostępnymi e-usługami- np. z profilem zaufanym, E-PUAP,  e-płatnością itp.</w:t>
            </w:r>
          </w:p>
          <w:p w14:paraId="61288098" w14:textId="0AD015D4" w:rsidR="00700D22" w:rsidRPr="00DA193B" w:rsidRDefault="00700D22" w:rsidP="00C86FCA">
            <w:pPr>
              <w:rPr>
                <w:rFonts w:cstheme="minorHAnsi"/>
              </w:rPr>
            </w:pPr>
          </w:p>
        </w:tc>
        <w:tc>
          <w:tcPr>
            <w:tcW w:w="1701" w:type="dxa"/>
          </w:tcPr>
          <w:p w14:paraId="69DA2208" w14:textId="77777777" w:rsidR="00C86FCA" w:rsidRPr="00DA193B" w:rsidRDefault="00C86FCA" w:rsidP="00C86FCA">
            <w:pPr>
              <w:jc w:val="center"/>
              <w:rPr>
                <w:rFonts w:cstheme="minorHAnsi"/>
              </w:rPr>
            </w:pPr>
            <w:r w:rsidRPr="00DA193B">
              <w:rPr>
                <w:rFonts w:cstheme="minorHAnsi"/>
              </w:rPr>
              <w:t>0/1</w:t>
            </w:r>
          </w:p>
        </w:tc>
        <w:tc>
          <w:tcPr>
            <w:tcW w:w="1417" w:type="dxa"/>
          </w:tcPr>
          <w:p w14:paraId="70586C70" w14:textId="77777777" w:rsidR="00C86FCA" w:rsidRPr="00DA193B" w:rsidRDefault="00C86FCA" w:rsidP="00C86FCA">
            <w:pPr>
              <w:jc w:val="center"/>
              <w:rPr>
                <w:rFonts w:cstheme="minorHAnsi"/>
              </w:rPr>
            </w:pPr>
            <w:r w:rsidRPr="00DA193B">
              <w:rPr>
                <w:rFonts w:cstheme="minorHAnsi"/>
              </w:rPr>
              <w:t>Tak</w:t>
            </w:r>
          </w:p>
        </w:tc>
      </w:tr>
      <w:tr w:rsidR="00C86FCA" w:rsidRPr="00DA193B" w14:paraId="2F720873" w14:textId="77777777" w:rsidTr="00546BF8">
        <w:trPr>
          <w:trHeight w:val="1258"/>
        </w:trPr>
        <w:tc>
          <w:tcPr>
            <w:tcW w:w="524" w:type="dxa"/>
          </w:tcPr>
          <w:p w14:paraId="6F80ABAD" w14:textId="6ED67BCF" w:rsidR="00C86FCA" w:rsidRPr="006F599F" w:rsidRDefault="00C86FCA" w:rsidP="00C86FCA">
            <w:pPr>
              <w:rPr>
                <w:rFonts w:cstheme="minorHAnsi"/>
                <w:b/>
                <w:bCs/>
              </w:rPr>
            </w:pPr>
            <w:r w:rsidRPr="006F599F">
              <w:rPr>
                <w:rFonts w:cstheme="minorHAnsi"/>
                <w:b/>
                <w:bCs/>
              </w:rPr>
              <w:t>19.</w:t>
            </w:r>
          </w:p>
        </w:tc>
        <w:tc>
          <w:tcPr>
            <w:tcW w:w="3724" w:type="dxa"/>
          </w:tcPr>
          <w:p w14:paraId="3647047C" w14:textId="7A15C670" w:rsidR="00C86FCA" w:rsidRPr="00DA193B" w:rsidRDefault="00C86FCA" w:rsidP="00C86FCA">
            <w:pPr>
              <w:rPr>
                <w:rFonts w:cstheme="minorHAnsi"/>
                <w:b/>
                <w:bCs/>
              </w:rPr>
            </w:pPr>
            <w:r w:rsidRPr="00733C76">
              <w:rPr>
                <w:rFonts w:cstheme="minorHAnsi"/>
                <w:b/>
                <w:bCs/>
              </w:rPr>
              <w:t>Skalowalność nowoczesnych rozwiązań informatycznych i technologicznych</w:t>
            </w:r>
          </w:p>
        </w:tc>
        <w:tc>
          <w:tcPr>
            <w:tcW w:w="7371" w:type="dxa"/>
          </w:tcPr>
          <w:p w14:paraId="5D83CD9B" w14:textId="262EA635" w:rsidR="00C86FCA" w:rsidRPr="00DA193B" w:rsidRDefault="00C86FCA" w:rsidP="00C86FCA">
            <w:pPr>
              <w:rPr>
                <w:rFonts w:cstheme="minorHAnsi"/>
              </w:rPr>
            </w:pPr>
            <w:r w:rsidRPr="00733C76">
              <w:rPr>
                <w:rFonts w:cstheme="minorHAnsi"/>
              </w:rPr>
              <w:t>W ramach kryterium ocenie podlega, czy przewidziane do wdrożenia nowoczesne rozwiązania informatyczne oraz technologiczne są skalowalne, w ramach współpracy międzysektorowej obejmującej w szczególności instytucje ochrony zdrowia.</w:t>
            </w:r>
          </w:p>
        </w:tc>
        <w:tc>
          <w:tcPr>
            <w:tcW w:w="1701" w:type="dxa"/>
          </w:tcPr>
          <w:p w14:paraId="247394DE" w14:textId="77777777" w:rsidR="00C86FCA" w:rsidRPr="00DA193B" w:rsidRDefault="00C86FCA" w:rsidP="00C86FCA">
            <w:pPr>
              <w:jc w:val="center"/>
              <w:rPr>
                <w:rFonts w:cstheme="minorHAnsi"/>
              </w:rPr>
            </w:pPr>
            <w:r w:rsidRPr="00DA193B">
              <w:rPr>
                <w:rFonts w:cstheme="minorHAnsi"/>
              </w:rPr>
              <w:t>0/1</w:t>
            </w:r>
          </w:p>
        </w:tc>
        <w:tc>
          <w:tcPr>
            <w:tcW w:w="1417" w:type="dxa"/>
          </w:tcPr>
          <w:p w14:paraId="0122CF29" w14:textId="77777777" w:rsidR="00C86FCA" w:rsidRPr="00DA193B" w:rsidRDefault="00C86FCA" w:rsidP="00C86FCA">
            <w:pPr>
              <w:jc w:val="center"/>
              <w:rPr>
                <w:rFonts w:cstheme="minorHAnsi"/>
              </w:rPr>
            </w:pPr>
            <w:r w:rsidRPr="00DA193B">
              <w:rPr>
                <w:rFonts w:cstheme="minorHAnsi"/>
              </w:rPr>
              <w:t>Tak</w:t>
            </w:r>
          </w:p>
        </w:tc>
      </w:tr>
      <w:tr w:rsidR="00C86FCA" w:rsidRPr="00DA193B" w14:paraId="54419FA3" w14:textId="77777777" w:rsidTr="00546BF8">
        <w:trPr>
          <w:trHeight w:val="907"/>
        </w:trPr>
        <w:tc>
          <w:tcPr>
            <w:tcW w:w="524" w:type="dxa"/>
          </w:tcPr>
          <w:p w14:paraId="65FA274F" w14:textId="73B1432E" w:rsidR="00C86FCA" w:rsidRPr="006F599F" w:rsidRDefault="00C86FCA" w:rsidP="00C86FCA">
            <w:pPr>
              <w:rPr>
                <w:rFonts w:cstheme="minorHAnsi"/>
                <w:b/>
                <w:bCs/>
              </w:rPr>
            </w:pPr>
            <w:r w:rsidRPr="006F599F">
              <w:rPr>
                <w:rFonts w:cstheme="minorHAnsi"/>
                <w:b/>
                <w:bCs/>
              </w:rPr>
              <w:t>20.</w:t>
            </w:r>
          </w:p>
        </w:tc>
        <w:tc>
          <w:tcPr>
            <w:tcW w:w="3724" w:type="dxa"/>
          </w:tcPr>
          <w:p w14:paraId="79F68610" w14:textId="6B3E0411" w:rsidR="00C86FCA" w:rsidRPr="00DA193B" w:rsidRDefault="00C86FCA" w:rsidP="00C86FCA">
            <w:pPr>
              <w:rPr>
                <w:rFonts w:cstheme="minorHAnsi"/>
                <w:b/>
                <w:bCs/>
              </w:rPr>
            </w:pPr>
            <w:r w:rsidRPr="002768BF">
              <w:rPr>
                <w:rFonts w:cstheme="minorHAnsi"/>
                <w:b/>
                <w:bCs/>
              </w:rPr>
              <w:t xml:space="preserve">Poprawność określenia działań </w:t>
            </w:r>
            <w:proofErr w:type="spellStart"/>
            <w:r w:rsidRPr="002768BF">
              <w:rPr>
                <w:rFonts w:cstheme="minorHAnsi"/>
                <w:b/>
                <w:bCs/>
              </w:rPr>
              <w:t>informacyjno</w:t>
            </w:r>
            <w:proofErr w:type="spellEnd"/>
            <w:r w:rsidRPr="002768BF">
              <w:rPr>
                <w:rFonts w:cstheme="minorHAnsi"/>
                <w:b/>
                <w:bCs/>
              </w:rPr>
              <w:t xml:space="preserve"> - promocyjnych w projekcie</w:t>
            </w:r>
          </w:p>
        </w:tc>
        <w:tc>
          <w:tcPr>
            <w:tcW w:w="7371" w:type="dxa"/>
          </w:tcPr>
          <w:p w14:paraId="18BAC4C4" w14:textId="77777777" w:rsidR="00C86FCA" w:rsidRDefault="00C86FCA" w:rsidP="00C86FCA">
            <w:pPr>
              <w:spacing w:line="254" w:lineRule="auto"/>
              <w:rPr>
                <w:rFonts w:ascii="Calibri" w:eastAsia="Calibri" w:hAnsi="Calibri" w:cs="Calibri"/>
              </w:rPr>
            </w:pPr>
            <w:r w:rsidRPr="002768BF">
              <w:rPr>
                <w:rFonts w:ascii="Calibri" w:eastAsia="Calibri" w:hAnsi="Calibri" w:cs="Calibri"/>
              </w:rPr>
              <w:t>W ramach kryterium ocenie podlega, czy działania informacyjno- promocyjne są zgodne</w:t>
            </w:r>
            <w:r w:rsidRPr="002768BF">
              <w:rPr>
                <w:rFonts w:ascii="Calibri" w:eastAsia="Calibri" w:hAnsi="Calibri" w:cs="Calibri"/>
                <w:u w:val="single"/>
              </w:rPr>
              <w:t xml:space="preserve"> </w:t>
            </w:r>
            <w:r w:rsidRPr="002768BF">
              <w:rPr>
                <w:rFonts w:ascii="Calibri" w:eastAsia="Calibri" w:hAnsi="Calibri" w:cs="Calibri"/>
              </w:rPr>
              <w:t>z art. 50 ust.1 lit e)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(Dz.U.UE.L.2021.231.159 z dnia 2021.06.30)*</w:t>
            </w:r>
          </w:p>
          <w:p w14:paraId="16C0159E" w14:textId="77777777" w:rsidR="00C86FCA" w:rsidRPr="002768BF" w:rsidRDefault="00C86FCA" w:rsidP="00C86FCA">
            <w:pPr>
              <w:spacing w:line="254" w:lineRule="auto"/>
              <w:rPr>
                <w:rFonts w:ascii="Calibri" w:eastAsia="Calibri" w:hAnsi="Calibri" w:cs="Calibri"/>
              </w:rPr>
            </w:pPr>
          </w:p>
          <w:p w14:paraId="16502979" w14:textId="04B29387" w:rsidR="00C86FCA" w:rsidRDefault="00C86FCA" w:rsidP="00C86FCA">
            <w:pPr>
              <w:rPr>
                <w:rFonts w:ascii="Calibri" w:eastAsia="Calibri" w:hAnsi="Calibri" w:cs="Calibri"/>
                <w:sz w:val="16"/>
                <w:szCs w:val="16"/>
              </w:rPr>
            </w:pPr>
            <w:r w:rsidRPr="002768BF">
              <w:rPr>
                <w:rFonts w:ascii="Calibri" w:eastAsia="Calibri" w:hAnsi="Calibri" w:cs="Calibri"/>
              </w:rPr>
              <w:t xml:space="preserve">* </w:t>
            </w:r>
            <w:r w:rsidRPr="002768BF">
              <w:rPr>
                <w:rFonts w:ascii="Calibri" w:eastAsia="Calibri" w:hAnsi="Calibri" w:cs="Calibri"/>
                <w:sz w:val="16"/>
                <w:szCs w:val="16"/>
              </w:rPr>
              <w:t xml:space="preserve">Rozporządzenie  zamieszczone zostało na stronie internetowej:  </w:t>
            </w:r>
            <w:hyperlink r:id="rId15" w:history="1">
              <w:r w:rsidR="00700D22" w:rsidRPr="00DF5E54">
                <w:rPr>
                  <w:rStyle w:val="Hipercze"/>
                  <w:rFonts w:ascii="Calibri" w:eastAsia="Calibri" w:hAnsi="Calibri" w:cs="Calibri"/>
                  <w:sz w:val="16"/>
                  <w:szCs w:val="16"/>
                </w:rPr>
                <w:t>https://www.gov.pl/web/dfe-mswia/przepisy-wspolne-dla-funduszy-ue-na-perspektywe-finansowa-ue-2021-2027</w:t>
              </w:r>
            </w:hyperlink>
          </w:p>
          <w:p w14:paraId="142FB577" w14:textId="501B494D" w:rsidR="00700D22" w:rsidRPr="00DA193B" w:rsidRDefault="00700D22" w:rsidP="00C86FCA">
            <w:pPr>
              <w:rPr>
                <w:rFonts w:cstheme="minorHAnsi"/>
              </w:rPr>
            </w:pPr>
          </w:p>
        </w:tc>
        <w:tc>
          <w:tcPr>
            <w:tcW w:w="1701" w:type="dxa"/>
          </w:tcPr>
          <w:p w14:paraId="05513FAB" w14:textId="77777777" w:rsidR="00C86FCA" w:rsidRPr="00DA193B" w:rsidRDefault="00C86FCA" w:rsidP="00C86FCA">
            <w:pPr>
              <w:jc w:val="center"/>
              <w:rPr>
                <w:rFonts w:cstheme="minorHAnsi"/>
              </w:rPr>
            </w:pPr>
            <w:r w:rsidRPr="00DA193B">
              <w:rPr>
                <w:rFonts w:cstheme="minorHAnsi"/>
              </w:rPr>
              <w:lastRenderedPageBreak/>
              <w:t>0/1</w:t>
            </w:r>
          </w:p>
        </w:tc>
        <w:tc>
          <w:tcPr>
            <w:tcW w:w="1417" w:type="dxa"/>
          </w:tcPr>
          <w:p w14:paraId="190447C2" w14:textId="77777777" w:rsidR="00C86FCA" w:rsidRPr="00DA193B" w:rsidRDefault="00C86FCA" w:rsidP="00C86FCA">
            <w:pPr>
              <w:jc w:val="center"/>
              <w:rPr>
                <w:rFonts w:cstheme="minorHAnsi"/>
              </w:rPr>
            </w:pPr>
            <w:r w:rsidRPr="00DA193B">
              <w:rPr>
                <w:rFonts w:cstheme="minorHAnsi"/>
              </w:rPr>
              <w:t>Tak</w:t>
            </w:r>
          </w:p>
        </w:tc>
      </w:tr>
      <w:tr w:rsidR="00C86FCA" w:rsidRPr="00DA193B" w14:paraId="3520227E" w14:textId="77777777" w:rsidTr="006E213F">
        <w:trPr>
          <w:trHeight w:val="474"/>
        </w:trPr>
        <w:tc>
          <w:tcPr>
            <w:tcW w:w="524" w:type="dxa"/>
          </w:tcPr>
          <w:p w14:paraId="1409B4C7" w14:textId="12826440" w:rsidR="00C86FCA" w:rsidRDefault="00C86FCA" w:rsidP="00C86FCA">
            <w:pPr>
              <w:rPr>
                <w:rFonts w:cstheme="minorHAnsi"/>
                <w:b/>
                <w:bCs/>
              </w:rPr>
            </w:pPr>
            <w:r w:rsidRPr="006F599F">
              <w:rPr>
                <w:rFonts w:cstheme="minorHAnsi"/>
                <w:b/>
                <w:bCs/>
              </w:rPr>
              <w:t>21.</w:t>
            </w:r>
          </w:p>
        </w:tc>
        <w:tc>
          <w:tcPr>
            <w:tcW w:w="3724" w:type="dxa"/>
          </w:tcPr>
          <w:p w14:paraId="5368EBCA" w14:textId="40673B89" w:rsidR="00C86FCA" w:rsidRPr="006E213F" w:rsidRDefault="00C86FCA" w:rsidP="00C86FCA">
            <w:pPr>
              <w:rPr>
                <w:rFonts w:ascii="Calibri" w:hAnsi="Calibri" w:cs="Calibri"/>
                <w:b/>
                <w:bCs/>
              </w:rPr>
            </w:pPr>
            <w:r w:rsidRPr="006E213F">
              <w:rPr>
                <w:rFonts w:ascii="Calibri" w:hAnsi="Calibri" w:cs="Calibri"/>
              </w:rPr>
              <w:t>Komplementarność</w:t>
            </w:r>
          </w:p>
        </w:tc>
        <w:tc>
          <w:tcPr>
            <w:tcW w:w="7371" w:type="dxa"/>
          </w:tcPr>
          <w:p w14:paraId="3344B290" w14:textId="6C1627A4" w:rsidR="00C86FCA" w:rsidRPr="003F6109" w:rsidRDefault="00C86FCA" w:rsidP="00C86FCA">
            <w:pPr>
              <w:rPr>
                <w:rFonts w:ascii="Calibri" w:eastAsiaTheme="majorEastAsia" w:hAnsi="Calibri" w:cs="Calibri"/>
              </w:rPr>
            </w:pPr>
            <w:r w:rsidRPr="00665804">
              <w:rPr>
                <w:rFonts w:ascii="Calibri" w:eastAsiaTheme="majorEastAsia" w:hAnsi="Calibri" w:cs="Calibri"/>
              </w:rPr>
              <w:t>W ramach kryterium ocenie podlegać będzie, czy projekt jest komplementarny do innych projektów finansowanych: ze środków UE, w tym w szczególności Krajowego Planu Odbudowy i Zwiększania Odporności, jak również realizowanych we wcześniejszych okresach programowania: RPO WM 2014-2020, ze środków krajowych, z innych źródeł.</w:t>
            </w:r>
          </w:p>
          <w:p w14:paraId="7B2A98BE" w14:textId="28FBB8DD" w:rsidR="00C86FCA" w:rsidRPr="00B33BB6" w:rsidRDefault="00C86FCA" w:rsidP="00C86FCA"/>
        </w:tc>
        <w:tc>
          <w:tcPr>
            <w:tcW w:w="1701" w:type="dxa"/>
          </w:tcPr>
          <w:p w14:paraId="2C32B499" w14:textId="7185B27C" w:rsidR="00C86FCA" w:rsidRPr="00DA193B" w:rsidRDefault="00C86FCA" w:rsidP="00C86FCA">
            <w:pPr>
              <w:jc w:val="center"/>
              <w:rPr>
                <w:rFonts w:cstheme="minorHAnsi"/>
              </w:rPr>
            </w:pPr>
            <w:r>
              <w:rPr>
                <w:rFonts w:cstheme="minorHAnsi"/>
              </w:rPr>
              <w:t>0/1</w:t>
            </w:r>
          </w:p>
        </w:tc>
        <w:tc>
          <w:tcPr>
            <w:tcW w:w="1417" w:type="dxa"/>
          </w:tcPr>
          <w:p w14:paraId="304729EC" w14:textId="5E153804" w:rsidR="00C86FCA" w:rsidRPr="00DA193B" w:rsidRDefault="00C86FCA" w:rsidP="00C86FCA">
            <w:pPr>
              <w:jc w:val="center"/>
              <w:rPr>
                <w:rFonts w:cstheme="minorHAnsi"/>
              </w:rPr>
            </w:pPr>
            <w:r>
              <w:rPr>
                <w:rFonts w:cstheme="minorHAnsi"/>
              </w:rPr>
              <w:t>Tak</w:t>
            </w:r>
          </w:p>
        </w:tc>
      </w:tr>
    </w:tbl>
    <w:p w14:paraId="749618F6" w14:textId="77777777" w:rsidR="004F6972" w:rsidRPr="00DA193B" w:rsidRDefault="004F6972">
      <w:pPr>
        <w:rPr>
          <w:rFonts w:cstheme="minorHAnsi"/>
        </w:rPr>
      </w:pPr>
    </w:p>
    <w:sectPr w:rsidR="004F6972" w:rsidRPr="00DA193B" w:rsidSect="00221A87">
      <w:footerReference w:type="default" r:id="rId16"/>
      <w:pgSz w:w="16838" w:h="11906" w:orient="landscape"/>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92E5" w14:textId="77777777" w:rsidR="00215FB5" w:rsidRDefault="00215FB5" w:rsidP="00433087">
      <w:pPr>
        <w:spacing w:after="0" w:line="240" w:lineRule="auto"/>
      </w:pPr>
      <w:r>
        <w:separator/>
      </w:r>
    </w:p>
  </w:endnote>
  <w:endnote w:type="continuationSeparator" w:id="0">
    <w:p w14:paraId="6D40EB57" w14:textId="77777777" w:rsidR="00215FB5" w:rsidRDefault="00215FB5" w:rsidP="0043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316006"/>
      <w:docPartObj>
        <w:docPartGallery w:val="Page Numbers (Bottom of Page)"/>
        <w:docPartUnique/>
      </w:docPartObj>
    </w:sdtPr>
    <w:sdtContent>
      <w:p w14:paraId="2E2EC83F" w14:textId="77777777" w:rsidR="00433087" w:rsidRDefault="00433087">
        <w:pPr>
          <w:pStyle w:val="Stopka"/>
          <w:jc w:val="right"/>
        </w:pPr>
        <w:r>
          <w:fldChar w:fldCharType="begin"/>
        </w:r>
        <w:r>
          <w:instrText>PAGE   \* MERGEFORMAT</w:instrText>
        </w:r>
        <w:r>
          <w:fldChar w:fldCharType="separate"/>
        </w:r>
        <w:r w:rsidR="004F18C0">
          <w:rPr>
            <w:noProof/>
          </w:rPr>
          <w:t>3</w:t>
        </w:r>
        <w:r>
          <w:fldChar w:fldCharType="end"/>
        </w:r>
      </w:p>
    </w:sdtContent>
  </w:sdt>
  <w:p w14:paraId="53C4F606" w14:textId="77777777" w:rsidR="00433087" w:rsidRDefault="004330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AE19" w14:textId="77777777" w:rsidR="00215FB5" w:rsidRDefault="00215FB5" w:rsidP="00433087">
      <w:pPr>
        <w:spacing w:after="0" w:line="240" w:lineRule="auto"/>
      </w:pPr>
      <w:r>
        <w:separator/>
      </w:r>
    </w:p>
  </w:footnote>
  <w:footnote w:type="continuationSeparator" w:id="0">
    <w:p w14:paraId="1CFFC017" w14:textId="77777777" w:rsidR="00215FB5" w:rsidRDefault="00215FB5" w:rsidP="0043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82BF1"/>
    <w:multiLevelType w:val="hybridMultilevel"/>
    <w:tmpl w:val="519E7B76"/>
    <w:lvl w:ilvl="0" w:tplc="942E5790">
      <w:start w:val="1"/>
      <w:numFmt w:val="bullet"/>
      <w:suff w:val="space"/>
      <w:lvlText w:val=""/>
      <w:lvlJc w:val="left"/>
      <w:pPr>
        <w:ind w:left="0" w:firstLine="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505770EA"/>
    <w:multiLevelType w:val="hybridMultilevel"/>
    <w:tmpl w:val="3CEA5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8690333">
    <w:abstractNumId w:val="1"/>
  </w:num>
  <w:num w:numId="2" w16cid:durableId="28384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C7"/>
    <w:rsid w:val="000011F2"/>
    <w:rsid w:val="000107DC"/>
    <w:rsid w:val="00011B42"/>
    <w:rsid w:val="00027479"/>
    <w:rsid w:val="0003110B"/>
    <w:rsid w:val="0003528E"/>
    <w:rsid w:val="0004367C"/>
    <w:rsid w:val="0004441F"/>
    <w:rsid w:val="00044580"/>
    <w:rsid w:val="0004461F"/>
    <w:rsid w:val="000449D5"/>
    <w:rsid w:val="000471E5"/>
    <w:rsid w:val="0005103B"/>
    <w:rsid w:val="00051136"/>
    <w:rsid w:val="000535EE"/>
    <w:rsid w:val="000568FD"/>
    <w:rsid w:val="000653B8"/>
    <w:rsid w:val="000747E5"/>
    <w:rsid w:val="000762C9"/>
    <w:rsid w:val="000842E1"/>
    <w:rsid w:val="000875B7"/>
    <w:rsid w:val="000C143B"/>
    <w:rsid w:val="000C159B"/>
    <w:rsid w:val="000C70AC"/>
    <w:rsid w:val="000C7BF2"/>
    <w:rsid w:val="000D3B25"/>
    <w:rsid w:val="000D3F80"/>
    <w:rsid w:val="000D5EA3"/>
    <w:rsid w:val="000E0704"/>
    <w:rsid w:val="000E13E7"/>
    <w:rsid w:val="000E2378"/>
    <w:rsid w:val="000F2890"/>
    <w:rsid w:val="000F33DF"/>
    <w:rsid w:val="000F63C9"/>
    <w:rsid w:val="00100705"/>
    <w:rsid w:val="00103B5F"/>
    <w:rsid w:val="001073EF"/>
    <w:rsid w:val="00120E67"/>
    <w:rsid w:val="0012597B"/>
    <w:rsid w:val="00126A62"/>
    <w:rsid w:val="00127259"/>
    <w:rsid w:val="00135F1B"/>
    <w:rsid w:val="00142AD6"/>
    <w:rsid w:val="001443CF"/>
    <w:rsid w:val="00144928"/>
    <w:rsid w:val="001461FA"/>
    <w:rsid w:val="001573F6"/>
    <w:rsid w:val="001619E0"/>
    <w:rsid w:val="00162470"/>
    <w:rsid w:val="00175BA7"/>
    <w:rsid w:val="00184BD3"/>
    <w:rsid w:val="001864C7"/>
    <w:rsid w:val="00194141"/>
    <w:rsid w:val="00194A77"/>
    <w:rsid w:val="001A4D7C"/>
    <w:rsid w:val="001B46A3"/>
    <w:rsid w:val="001B531A"/>
    <w:rsid w:val="001B7DDE"/>
    <w:rsid w:val="001C05DB"/>
    <w:rsid w:val="001C3D28"/>
    <w:rsid w:val="001C6873"/>
    <w:rsid w:val="001E050F"/>
    <w:rsid w:val="001E7985"/>
    <w:rsid w:val="001F7409"/>
    <w:rsid w:val="002073AB"/>
    <w:rsid w:val="0021572B"/>
    <w:rsid w:val="00215FB5"/>
    <w:rsid w:val="00221A87"/>
    <w:rsid w:val="002268B2"/>
    <w:rsid w:val="002401FC"/>
    <w:rsid w:val="00244C95"/>
    <w:rsid w:val="00250A8C"/>
    <w:rsid w:val="00254A36"/>
    <w:rsid w:val="002676FA"/>
    <w:rsid w:val="00271AA0"/>
    <w:rsid w:val="00272D36"/>
    <w:rsid w:val="002768BF"/>
    <w:rsid w:val="00285C59"/>
    <w:rsid w:val="00286E46"/>
    <w:rsid w:val="00290E6A"/>
    <w:rsid w:val="0029265D"/>
    <w:rsid w:val="0029629B"/>
    <w:rsid w:val="002A5AE9"/>
    <w:rsid w:val="002A5B99"/>
    <w:rsid w:val="002C3AF0"/>
    <w:rsid w:val="002C4C58"/>
    <w:rsid w:val="002D1AAB"/>
    <w:rsid w:val="002D671A"/>
    <w:rsid w:val="002E16CD"/>
    <w:rsid w:val="002F1192"/>
    <w:rsid w:val="00302D91"/>
    <w:rsid w:val="00310A93"/>
    <w:rsid w:val="003117DD"/>
    <w:rsid w:val="00313400"/>
    <w:rsid w:val="00317821"/>
    <w:rsid w:val="00322C0C"/>
    <w:rsid w:val="003358CD"/>
    <w:rsid w:val="0033617C"/>
    <w:rsid w:val="003520AD"/>
    <w:rsid w:val="0035722D"/>
    <w:rsid w:val="00357D92"/>
    <w:rsid w:val="00362556"/>
    <w:rsid w:val="00362743"/>
    <w:rsid w:val="00370D1E"/>
    <w:rsid w:val="00380042"/>
    <w:rsid w:val="003848FA"/>
    <w:rsid w:val="00385C81"/>
    <w:rsid w:val="00385D20"/>
    <w:rsid w:val="00397C2C"/>
    <w:rsid w:val="003A7D67"/>
    <w:rsid w:val="003C1E85"/>
    <w:rsid w:val="003C2671"/>
    <w:rsid w:val="003D1984"/>
    <w:rsid w:val="003D26F3"/>
    <w:rsid w:val="003D6E04"/>
    <w:rsid w:val="003E12C3"/>
    <w:rsid w:val="003F0F67"/>
    <w:rsid w:val="003F6109"/>
    <w:rsid w:val="00400195"/>
    <w:rsid w:val="00400EA6"/>
    <w:rsid w:val="00401486"/>
    <w:rsid w:val="0040460B"/>
    <w:rsid w:val="00405440"/>
    <w:rsid w:val="0040711E"/>
    <w:rsid w:val="00411567"/>
    <w:rsid w:val="00412795"/>
    <w:rsid w:val="00414DBF"/>
    <w:rsid w:val="004164F1"/>
    <w:rsid w:val="004166CC"/>
    <w:rsid w:val="00425EB1"/>
    <w:rsid w:val="004275CB"/>
    <w:rsid w:val="00427D44"/>
    <w:rsid w:val="00433087"/>
    <w:rsid w:val="00433855"/>
    <w:rsid w:val="00436AA2"/>
    <w:rsid w:val="00437967"/>
    <w:rsid w:val="00440E2D"/>
    <w:rsid w:val="0044263B"/>
    <w:rsid w:val="004427F6"/>
    <w:rsid w:val="004531EF"/>
    <w:rsid w:val="00454BA1"/>
    <w:rsid w:val="00455019"/>
    <w:rsid w:val="00457819"/>
    <w:rsid w:val="0046047E"/>
    <w:rsid w:val="00464903"/>
    <w:rsid w:val="00464DC5"/>
    <w:rsid w:val="00466813"/>
    <w:rsid w:val="00470633"/>
    <w:rsid w:val="00477C21"/>
    <w:rsid w:val="00483EC1"/>
    <w:rsid w:val="004953FB"/>
    <w:rsid w:val="00497544"/>
    <w:rsid w:val="004A53CA"/>
    <w:rsid w:val="004B7F2D"/>
    <w:rsid w:val="004C0684"/>
    <w:rsid w:val="004C7F9F"/>
    <w:rsid w:val="004D2BDF"/>
    <w:rsid w:val="004D353A"/>
    <w:rsid w:val="004E58F2"/>
    <w:rsid w:val="004E59BE"/>
    <w:rsid w:val="004E71C9"/>
    <w:rsid w:val="004F0B51"/>
    <w:rsid w:val="004F18C0"/>
    <w:rsid w:val="004F6972"/>
    <w:rsid w:val="00500C8B"/>
    <w:rsid w:val="00517A24"/>
    <w:rsid w:val="00522751"/>
    <w:rsid w:val="00522771"/>
    <w:rsid w:val="0052385B"/>
    <w:rsid w:val="00524B90"/>
    <w:rsid w:val="00526F4B"/>
    <w:rsid w:val="0053341C"/>
    <w:rsid w:val="005354E1"/>
    <w:rsid w:val="00541A20"/>
    <w:rsid w:val="00543227"/>
    <w:rsid w:val="00543298"/>
    <w:rsid w:val="005467BF"/>
    <w:rsid w:val="00546BF8"/>
    <w:rsid w:val="005476B1"/>
    <w:rsid w:val="0055390F"/>
    <w:rsid w:val="0055598C"/>
    <w:rsid w:val="00557C69"/>
    <w:rsid w:val="00557F3F"/>
    <w:rsid w:val="00560C80"/>
    <w:rsid w:val="00563379"/>
    <w:rsid w:val="00587655"/>
    <w:rsid w:val="0058783B"/>
    <w:rsid w:val="00593820"/>
    <w:rsid w:val="00595440"/>
    <w:rsid w:val="005975E1"/>
    <w:rsid w:val="005A2366"/>
    <w:rsid w:val="005A4B0C"/>
    <w:rsid w:val="005A5A85"/>
    <w:rsid w:val="005A5B05"/>
    <w:rsid w:val="005A5CF6"/>
    <w:rsid w:val="005B3E41"/>
    <w:rsid w:val="005B6DBC"/>
    <w:rsid w:val="005B7897"/>
    <w:rsid w:val="005D755B"/>
    <w:rsid w:val="005E335A"/>
    <w:rsid w:val="00607188"/>
    <w:rsid w:val="0062055D"/>
    <w:rsid w:val="00623168"/>
    <w:rsid w:val="006260C6"/>
    <w:rsid w:val="00630B01"/>
    <w:rsid w:val="00631AEC"/>
    <w:rsid w:val="00634A6A"/>
    <w:rsid w:val="0064435A"/>
    <w:rsid w:val="00644B80"/>
    <w:rsid w:val="0064578E"/>
    <w:rsid w:val="00650A4F"/>
    <w:rsid w:val="00652F42"/>
    <w:rsid w:val="00654394"/>
    <w:rsid w:val="00655360"/>
    <w:rsid w:val="00665804"/>
    <w:rsid w:val="006710C5"/>
    <w:rsid w:val="00675577"/>
    <w:rsid w:val="006848D0"/>
    <w:rsid w:val="00685FB1"/>
    <w:rsid w:val="00686994"/>
    <w:rsid w:val="00691B37"/>
    <w:rsid w:val="00692ECA"/>
    <w:rsid w:val="00695C2C"/>
    <w:rsid w:val="006A19D9"/>
    <w:rsid w:val="006A1C9D"/>
    <w:rsid w:val="006A3005"/>
    <w:rsid w:val="006A3FA7"/>
    <w:rsid w:val="006A5B58"/>
    <w:rsid w:val="006B1C4B"/>
    <w:rsid w:val="006C2A6E"/>
    <w:rsid w:val="006C65ED"/>
    <w:rsid w:val="006C7ADE"/>
    <w:rsid w:val="006E213F"/>
    <w:rsid w:val="006F599F"/>
    <w:rsid w:val="00700D22"/>
    <w:rsid w:val="0070386D"/>
    <w:rsid w:val="0071090B"/>
    <w:rsid w:val="00714263"/>
    <w:rsid w:val="00716204"/>
    <w:rsid w:val="00724441"/>
    <w:rsid w:val="0072635D"/>
    <w:rsid w:val="007267A3"/>
    <w:rsid w:val="00733C76"/>
    <w:rsid w:val="00741D0F"/>
    <w:rsid w:val="007429AF"/>
    <w:rsid w:val="00743551"/>
    <w:rsid w:val="007605F9"/>
    <w:rsid w:val="00767F3C"/>
    <w:rsid w:val="007716D9"/>
    <w:rsid w:val="00771EA9"/>
    <w:rsid w:val="00775004"/>
    <w:rsid w:val="00791105"/>
    <w:rsid w:val="00793F7E"/>
    <w:rsid w:val="00794598"/>
    <w:rsid w:val="00795831"/>
    <w:rsid w:val="00797299"/>
    <w:rsid w:val="007A60FD"/>
    <w:rsid w:val="007B116C"/>
    <w:rsid w:val="007B2F35"/>
    <w:rsid w:val="007B6456"/>
    <w:rsid w:val="007D0236"/>
    <w:rsid w:val="007D2756"/>
    <w:rsid w:val="007D422C"/>
    <w:rsid w:val="007D42A6"/>
    <w:rsid w:val="007D680F"/>
    <w:rsid w:val="007E1C66"/>
    <w:rsid w:val="007E2910"/>
    <w:rsid w:val="007E779A"/>
    <w:rsid w:val="007F13CF"/>
    <w:rsid w:val="008027D0"/>
    <w:rsid w:val="0080311D"/>
    <w:rsid w:val="00806C6E"/>
    <w:rsid w:val="008070E5"/>
    <w:rsid w:val="00821AB1"/>
    <w:rsid w:val="00821FC9"/>
    <w:rsid w:val="008419B2"/>
    <w:rsid w:val="00852612"/>
    <w:rsid w:val="008565BF"/>
    <w:rsid w:val="008569F8"/>
    <w:rsid w:val="008617F1"/>
    <w:rsid w:val="00882AD7"/>
    <w:rsid w:val="00891BD5"/>
    <w:rsid w:val="00893342"/>
    <w:rsid w:val="008B3A89"/>
    <w:rsid w:val="008B73A4"/>
    <w:rsid w:val="008C1B51"/>
    <w:rsid w:val="008C7393"/>
    <w:rsid w:val="008D1513"/>
    <w:rsid w:val="008D2037"/>
    <w:rsid w:val="008D5054"/>
    <w:rsid w:val="008E517B"/>
    <w:rsid w:val="008E7C5D"/>
    <w:rsid w:val="008F6A0A"/>
    <w:rsid w:val="00901549"/>
    <w:rsid w:val="00906DF9"/>
    <w:rsid w:val="00910D54"/>
    <w:rsid w:val="00911BD8"/>
    <w:rsid w:val="0091569D"/>
    <w:rsid w:val="00916D89"/>
    <w:rsid w:val="009257B6"/>
    <w:rsid w:val="0092755E"/>
    <w:rsid w:val="00931B26"/>
    <w:rsid w:val="00941BB7"/>
    <w:rsid w:val="009445B0"/>
    <w:rsid w:val="00945631"/>
    <w:rsid w:val="00950FCD"/>
    <w:rsid w:val="00954E81"/>
    <w:rsid w:val="00955C35"/>
    <w:rsid w:val="0096760E"/>
    <w:rsid w:val="00973D5D"/>
    <w:rsid w:val="009917BE"/>
    <w:rsid w:val="009959DB"/>
    <w:rsid w:val="009A0150"/>
    <w:rsid w:val="009B366E"/>
    <w:rsid w:val="009B44E9"/>
    <w:rsid w:val="009B54B2"/>
    <w:rsid w:val="009B634C"/>
    <w:rsid w:val="009C003E"/>
    <w:rsid w:val="009E5A26"/>
    <w:rsid w:val="009E6C12"/>
    <w:rsid w:val="009F18B8"/>
    <w:rsid w:val="009F36DD"/>
    <w:rsid w:val="00A03DCD"/>
    <w:rsid w:val="00A130AB"/>
    <w:rsid w:val="00A2253C"/>
    <w:rsid w:val="00A23718"/>
    <w:rsid w:val="00A24CCA"/>
    <w:rsid w:val="00A330EC"/>
    <w:rsid w:val="00A361C2"/>
    <w:rsid w:val="00A52995"/>
    <w:rsid w:val="00A6134C"/>
    <w:rsid w:val="00A7216F"/>
    <w:rsid w:val="00A91A32"/>
    <w:rsid w:val="00A94584"/>
    <w:rsid w:val="00AA1D57"/>
    <w:rsid w:val="00AC0DBA"/>
    <w:rsid w:val="00AC7327"/>
    <w:rsid w:val="00AD105F"/>
    <w:rsid w:val="00AD1FDD"/>
    <w:rsid w:val="00AD2BCF"/>
    <w:rsid w:val="00AD5ADB"/>
    <w:rsid w:val="00AE0A50"/>
    <w:rsid w:val="00AE0B06"/>
    <w:rsid w:val="00AE3502"/>
    <w:rsid w:val="00AF33D0"/>
    <w:rsid w:val="00AF44C1"/>
    <w:rsid w:val="00B0207E"/>
    <w:rsid w:val="00B025B8"/>
    <w:rsid w:val="00B1437F"/>
    <w:rsid w:val="00B21577"/>
    <w:rsid w:val="00B21DFA"/>
    <w:rsid w:val="00B24C17"/>
    <w:rsid w:val="00B33BB6"/>
    <w:rsid w:val="00B349E3"/>
    <w:rsid w:val="00B42171"/>
    <w:rsid w:val="00B444EE"/>
    <w:rsid w:val="00B46B94"/>
    <w:rsid w:val="00B46C74"/>
    <w:rsid w:val="00B50029"/>
    <w:rsid w:val="00B51F19"/>
    <w:rsid w:val="00B65A83"/>
    <w:rsid w:val="00B66FEA"/>
    <w:rsid w:val="00B83419"/>
    <w:rsid w:val="00B84F1A"/>
    <w:rsid w:val="00B926B4"/>
    <w:rsid w:val="00B95CA3"/>
    <w:rsid w:val="00BA09FC"/>
    <w:rsid w:val="00BA51E9"/>
    <w:rsid w:val="00BB1673"/>
    <w:rsid w:val="00BB3CC7"/>
    <w:rsid w:val="00BB4F08"/>
    <w:rsid w:val="00BC2614"/>
    <w:rsid w:val="00BC37CF"/>
    <w:rsid w:val="00BD5E84"/>
    <w:rsid w:val="00BE6C31"/>
    <w:rsid w:val="00BF3533"/>
    <w:rsid w:val="00C0043B"/>
    <w:rsid w:val="00C069B6"/>
    <w:rsid w:val="00C106BC"/>
    <w:rsid w:val="00C120FB"/>
    <w:rsid w:val="00C14D44"/>
    <w:rsid w:val="00C14F78"/>
    <w:rsid w:val="00C218C8"/>
    <w:rsid w:val="00C303F6"/>
    <w:rsid w:val="00C467A5"/>
    <w:rsid w:val="00C518D8"/>
    <w:rsid w:val="00C5346E"/>
    <w:rsid w:val="00C71B89"/>
    <w:rsid w:val="00C86B25"/>
    <w:rsid w:val="00C86FCA"/>
    <w:rsid w:val="00C90785"/>
    <w:rsid w:val="00C95997"/>
    <w:rsid w:val="00C95FD4"/>
    <w:rsid w:val="00CA1A08"/>
    <w:rsid w:val="00CB17BD"/>
    <w:rsid w:val="00CB2513"/>
    <w:rsid w:val="00CB5487"/>
    <w:rsid w:val="00CB6533"/>
    <w:rsid w:val="00CC1370"/>
    <w:rsid w:val="00CE08A1"/>
    <w:rsid w:val="00CE4780"/>
    <w:rsid w:val="00CE6D66"/>
    <w:rsid w:val="00CE7367"/>
    <w:rsid w:val="00CE763A"/>
    <w:rsid w:val="00D02F76"/>
    <w:rsid w:val="00D04E94"/>
    <w:rsid w:val="00D21052"/>
    <w:rsid w:val="00D223FB"/>
    <w:rsid w:val="00D23B5E"/>
    <w:rsid w:val="00D440E1"/>
    <w:rsid w:val="00D47359"/>
    <w:rsid w:val="00D47479"/>
    <w:rsid w:val="00D51839"/>
    <w:rsid w:val="00D57AAC"/>
    <w:rsid w:val="00D60566"/>
    <w:rsid w:val="00D72461"/>
    <w:rsid w:val="00D7319C"/>
    <w:rsid w:val="00D75E82"/>
    <w:rsid w:val="00D87A77"/>
    <w:rsid w:val="00D95291"/>
    <w:rsid w:val="00D95AD3"/>
    <w:rsid w:val="00DA0B6F"/>
    <w:rsid w:val="00DA193B"/>
    <w:rsid w:val="00DA7DE9"/>
    <w:rsid w:val="00DB31AE"/>
    <w:rsid w:val="00DB6966"/>
    <w:rsid w:val="00DC77CC"/>
    <w:rsid w:val="00DD2B51"/>
    <w:rsid w:val="00DF5008"/>
    <w:rsid w:val="00DF635C"/>
    <w:rsid w:val="00DF644D"/>
    <w:rsid w:val="00E10153"/>
    <w:rsid w:val="00E1246B"/>
    <w:rsid w:val="00E14C2F"/>
    <w:rsid w:val="00E15737"/>
    <w:rsid w:val="00E22AA7"/>
    <w:rsid w:val="00E27C6D"/>
    <w:rsid w:val="00E31845"/>
    <w:rsid w:val="00E32FE2"/>
    <w:rsid w:val="00E33902"/>
    <w:rsid w:val="00E41176"/>
    <w:rsid w:val="00E437BB"/>
    <w:rsid w:val="00E471C8"/>
    <w:rsid w:val="00E57A36"/>
    <w:rsid w:val="00E60AAB"/>
    <w:rsid w:val="00E613F8"/>
    <w:rsid w:val="00E61515"/>
    <w:rsid w:val="00E63D1D"/>
    <w:rsid w:val="00E6434A"/>
    <w:rsid w:val="00E6739F"/>
    <w:rsid w:val="00E732CA"/>
    <w:rsid w:val="00E738E1"/>
    <w:rsid w:val="00E80515"/>
    <w:rsid w:val="00E8055F"/>
    <w:rsid w:val="00E80EFF"/>
    <w:rsid w:val="00E83AE3"/>
    <w:rsid w:val="00E941F4"/>
    <w:rsid w:val="00EA266A"/>
    <w:rsid w:val="00EA34AD"/>
    <w:rsid w:val="00EA43E4"/>
    <w:rsid w:val="00EB0689"/>
    <w:rsid w:val="00EB07E1"/>
    <w:rsid w:val="00EC6B2D"/>
    <w:rsid w:val="00ED7A24"/>
    <w:rsid w:val="00EE4AF4"/>
    <w:rsid w:val="00EF1FF5"/>
    <w:rsid w:val="00EF4F69"/>
    <w:rsid w:val="00EF56AC"/>
    <w:rsid w:val="00F012B2"/>
    <w:rsid w:val="00F119DF"/>
    <w:rsid w:val="00F14852"/>
    <w:rsid w:val="00F22DC8"/>
    <w:rsid w:val="00F249B1"/>
    <w:rsid w:val="00F24D28"/>
    <w:rsid w:val="00F26DD9"/>
    <w:rsid w:val="00F40B8D"/>
    <w:rsid w:val="00F42058"/>
    <w:rsid w:val="00F45BE6"/>
    <w:rsid w:val="00F64942"/>
    <w:rsid w:val="00F70C16"/>
    <w:rsid w:val="00F71134"/>
    <w:rsid w:val="00F72C17"/>
    <w:rsid w:val="00F95295"/>
    <w:rsid w:val="00FA78C0"/>
    <w:rsid w:val="00FB69FE"/>
    <w:rsid w:val="00FC4943"/>
    <w:rsid w:val="00FE2768"/>
    <w:rsid w:val="00FE4003"/>
    <w:rsid w:val="00FE4260"/>
    <w:rsid w:val="00FE48A9"/>
    <w:rsid w:val="00FE6239"/>
    <w:rsid w:val="00FE6500"/>
    <w:rsid w:val="00FF25A5"/>
    <w:rsid w:val="00FF2D12"/>
    <w:rsid w:val="00FF5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1438"/>
  <w15:chartTrackingRefBased/>
  <w15:docId w15:val="{44AF03F6-1332-4CFB-88B8-3C2B407C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FB69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025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B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3CC7"/>
    <w:pPr>
      <w:autoSpaceDE w:val="0"/>
      <w:autoSpaceDN w:val="0"/>
      <w:adjustRightInd w:val="0"/>
      <w:spacing w:after="0" w:line="240" w:lineRule="auto"/>
    </w:pPr>
    <w:rPr>
      <w:rFonts w:ascii="Calibri" w:hAnsi="Calibri" w:cs="Calibri"/>
      <w:color w:val="000000"/>
      <w:kern w:val="0"/>
      <w:sz w:val="24"/>
      <w:szCs w:val="24"/>
    </w:rPr>
  </w:style>
  <w:style w:type="paragraph" w:styleId="Nagwek">
    <w:name w:val="header"/>
    <w:basedOn w:val="Normalny"/>
    <w:link w:val="NagwekZnak"/>
    <w:uiPriority w:val="99"/>
    <w:unhideWhenUsed/>
    <w:rsid w:val="004330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3087"/>
  </w:style>
  <w:style w:type="paragraph" w:styleId="Stopka">
    <w:name w:val="footer"/>
    <w:basedOn w:val="Normalny"/>
    <w:link w:val="StopkaZnak"/>
    <w:uiPriority w:val="99"/>
    <w:unhideWhenUsed/>
    <w:rsid w:val="004330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3087"/>
  </w:style>
  <w:style w:type="paragraph" w:styleId="Poprawka">
    <w:name w:val="Revision"/>
    <w:hidden/>
    <w:uiPriority w:val="99"/>
    <w:semiHidden/>
    <w:rsid w:val="00100705"/>
    <w:pPr>
      <w:spacing w:after="0" w:line="240" w:lineRule="auto"/>
    </w:pPr>
  </w:style>
  <w:style w:type="character" w:styleId="Odwoaniedokomentarza">
    <w:name w:val="annotation reference"/>
    <w:basedOn w:val="Domylnaczcionkaakapitu"/>
    <w:uiPriority w:val="99"/>
    <w:semiHidden/>
    <w:unhideWhenUsed/>
    <w:rsid w:val="004E59BE"/>
    <w:rPr>
      <w:sz w:val="16"/>
      <w:szCs w:val="16"/>
    </w:rPr>
  </w:style>
  <w:style w:type="paragraph" w:styleId="Tekstkomentarza">
    <w:name w:val="annotation text"/>
    <w:basedOn w:val="Normalny"/>
    <w:link w:val="TekstkomentarzaZnak"/>
    <w:uiPriority w:val="99"/>
    <w:unhideWhenUsed/>
    <w:rsid w:val="004E59BE"/>
    <w:pPr>
      <w:spacing w:line="240" w:lineRule="auto"/>
    </w:pPr>
    <w:rPr>
      <w:sz w:val="20"/>
      <w:szCs w:val="20"/>
    </w:rPr>
  </w:style>
  <w:style w:type="character" w:customStyle="1" w:styleId="TekstkomentarzaZnak">
    <w:name w:val="Tekst komentarza Znak"/>
    <w:basedOn w:val="Domylnaczcionkaakapitu"/>
    <w:link w:val="Tekstkomentarza"/>
    <w:uiPriority w:val="99"/>
    <w:rsid w:val="004E59BE"/>
    <w:rPr>
      <w:sz w:val="20"/>
      <w:szCs w:val="20"/>
    </w:rPr>
  </w:style>
  <w:style w:type="paragraph" w:styleId="Tematkomentarza">
    <w:name w:val="annotation subject"/>
    <w:basedOn w:val="Tekstkomentarza"/>
    <w:next w:val="Tekstkomentarza"/>
    <w:link w:val="TematkomentarzaZnak"/>
    <w:uiPriority w:val="99"/>
    <w:semiHidden/>
    <w:unhideWhenUsed/>
    <w:rsid w:val="004E59BE"/>
    <w:rPr>
      <w:b/>
      <w:bCs/>
    </w:rPr>
  </w:style>
  <w:style w:type="character" w:customStyle="1" w:styleId="TematkomentarzaZnak">
    <w:name w:val="Temat komentarza Znak"/>
    <w:basedOn w:val="TekstkomentarzaZnak"/>
    <w:link w:val="Tematkomentarza"/>
    <w:uiPriority w:val="99"/>
    <w:semiHidden/>
    <w:rsid w:val="004E59BE"/>
    <w:rPr>
      <w:b/>
      <w:bCs/>
      <w:sz w:val="20"/>
      <w:szCs w:val="20"/>
    </w:rPr>
  </w:style>
  <w:style w:type="paragraph" w:styleId="Tekstdymka">
    <w:name w:val="Balloon Text"/>
    <w:basedOn w:val="Normalny"/>
    <w:link w:val="TekstdymkaZnak"/>
    <w:uiPriority w:val="99"/>
    <w:semiHidden/>
    <w:unhideWhenUsed/>
    <w:rsid w:val="004164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64F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1941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4141"/>
    <w:rPr>
      <w:sz w:val="20"/>
      <w:szCs w:val="20"/>
    </w:rPr>
  </w:style>
  <w:style w:type="character" w:styleId="Odwoanieprzypisukocowego">
    <w:name w:val="endnote reference"/>
    <w:basedOn w:val="Domylnaczcionkaakapitu"/>
    <w:uiPriority w:val="99"/>
    <w:semiHidden/>
    <w:unhideWhenUsed/>
    <w:rsid w:val="00194141"/>
    <w:rPr>
      <w:vertAlign w:val="superscript"/>
    </w:rPr>
  </w:style>
  <w:style w:type="paragraph" w:styleId="Tekstprzypisudolnego">
    <w:name w:val="footnote text"/>
    <w:basedOn w:val="Normalny"/>
    <w:link w:val="TekstprzypisudolnegoZnak"/>
    <w:uiPriority w:val="99"/>
    <w:unhideWhenUsed/>
    <w:rsid w:val="0019414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94141"/>
    <w:rPr>
      <w:sz w:val="20"/>
      <w:szCs w:val="20"/>
    </w:rPr>
  </w:style>
  <w:style w:type="character" w:styleId="Odwoanieprzypisudolnego">
    <w:name w:val="footnote reference"/>
    <w:basedOn w:val="Domylnaczcionkaakapitu"/>
    <w:uiPriority w:val="99"/>
    <w:semiHidden/>
    <w:unhideWhenUsed/>
    <w:rsid w:val="00194141"/>
    <w:rPr>
      <w:vertAlign w:val="superscript"/>
    </w:rPr>
  </w:style>
  <w:style w:type="character" w:styleId="Hipercze">
    <w:name w:val="Hyperlink"/>
    <w:basedOn w:val="Domylnaczcionkaakapitu"/>
    <w:uiPriority w:val="99"/>
    <w:unhideWhenUsed/>
    <w:rsid w:val="00BE6C31"/>
    <w:rPr>
      <w:color w:val="0563C1" w:themeColor="hyperlink"/>
      <w:u w:val="single"/>
    </w:rPr>
  </w:style>
  <w:style w:type="character" w:styleId="Nierozpoznanawzmianka">
    <w:name w:val="Unresolved Mention"/>
    <w:basedOn w:val="Domylnaczcionkaakapitu"/>
    <w:uiPriority w:val="99"/>
    <w:semiHidden/>
    <w:unhideWhenUsed/>
    <w:rsid w:val="00BE6C31"/>
    <w:rPr>
      <w:color w:val="605E5C"/>
      <w:shd w:val="clear" w:color="auto" w:fill="E1DFDD"/>
    </w:rPr>
  </w:style>
  <w:style w:type="character" w:styleId="UyteHipercze">
    <w:name w:val="FollowedHyperlink"/>
    <w:basedOn w:val="Domylnaczcionkaakapitu"/>
    <w:uiPriority w:val="99"/>
    <w:semiHidden/>
    <w:unhideWhenUsed/>
    <w:rsid w:val="00FC4943"/>
    <w:rPr>
      <w:color w:val="954F72" w:themeColor="followedHyperlink"/>
      <w:u w:val="single"/>
    </w:rPr>
  </w:style>
  <w:style w:type="character" w:customStyle="1" w:styleId="cf01">
    <w:name w:val="cf01"/>
    <w:basedOn w:val="Domylnaczcionkaakapitu"/>
    <w:rsid w:val="003D1984"/>
    <w:rPr>
      <w:rFonts w:ascii="Segoe UI" w:hAnsi="Segoe UI" w:cs="Segoe UI" w:hint="default"/>
      <w:sz w:val="18"/>
      <w:szCs w:val="18"/>
    </w:rPr>
  </w:style>
  <w:style w:type="character" w:customStyle="1" w:styleId="Nagwek3Znak">
    <w:name w:val="Nagłówek 3 Znak"/>
    <w:basedOn w:val="Domylnaczcionkaakapitu"/>
    <w:link w:val="Nagwek3"/>
    <w:uiPriority w:val="9"/>
    <w:rsid w:val="00B025B8"/>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FB69FE"/>
    <w:rPr>
      <w:rFonts w:asciiTheme="majorHAnsi" w:eastAsiaTheme="majorEastAsia" w:hAnsiTheme="majorHAnsi" w:cstheme="majorBidi"/>
      <w:color w:val="2F5496" w:themeColor="accent1" w:themeShade="BF"/>
      <w:sz w:val="26"/>
      <w:szCs w:val="26"/>
    </w:rPr>
  </w:style>
  <w:style w:type="paragraph" w:styleId="Akapitzlist">
    <w:name w:val="List Paragraph"/>
    <w:aliases w:val="Signature,Numerowanie,L1,Akapit z listą5,Akapit normalny,Podsis rysunku,T_SZ_List Paragraph,BulletC,Wyliczanie,Obiekt,normalny tekst,Akapit z listą31,Bullets,List Paragraph1,Wypunktowanie,CP-UC,CP-Punkty,Bullet List,List - bullets,b1,lp1"/>
    <w:basedOn w:val="Normalny"/>
    <w:link w:val="AkapitzlistZnak"/>
    <w:uiPriority w:val="34"/>
    <w:qFormat/>
    <w:rsid w:val="00F40B8D"/>
    <w:pPr>
      <w:spacing w:after="200" w:line="276" w:lineRule="auto"/>
      <w:ind w:left="720"/>
      <w:contextualSpacing/>
    </w:pPr>
    <w:rPr>
      <w:rFonts w:ascii="Calibri" w:eastAsia="Calibri" w:hAnsi="Calibri" w:cs="Times New Roman"/>
      <w:kern w:val="0"/>
      <w14:ligatures w14:val="none"/>
    </w:rPr>
  </w:style>
  <w:style w:type="character" w:customStyle="1" w:styleId="AkapitzlistZnak">
    <w:name w:val="Akapit z listą Znak"/>
    <w:aliases w:val="Signature Znak,Numerowanie Znak,L1 Znak,Akapit z listą5 Znak,Akapit normalny Znak,Podsis rysunku Znak,T_SZ_List Paragraph Znak,BulletC Znak,Wyliczanie Znak,Obiekt Znak,normalny tekst Znak,Akapit z listą31 Znak,Bullets Znak,CP-UC Znak"/>
    <w:link w:val="Akapitzlist"/>
    <w:uiPriority w:val="34"/>
    <w:qFormat/>
    <w:locked/>
    <w:rsid w:val="00F40B8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3308">
      <w:bodyDiv w:val="1"/>
      <w:marLeft w:val="0"/>
      <w:marRight w:val="0"/>
      <w:marTop w:val="0"/>
      <w:marBottom w:val="0"/>
      <w:divBdr>
        <w:top w:val="none" w:sz="0" w:space="0" w:color="auto"/>
        <w:left w:val="none" w:sz="0" w:space="0" w:color="auto"/>
        <w:bottom w:val="none" w:sz="0" w:space="0" w:color="auto"/>
        <w:right w:val="none" w:sz="0" w:space="0" w:color="auto"/>
      </w:divBdr>
    </w:div>
    <w:div w:id="394937079">
      <w:bodyDiv w:val="1"/>
      <w:marLeft w:val="0"/>
      <w:marRight w:val="0"/>
      <w:marTop w:val="0"/>
      <w:marBottom w:val="0"/>
      <w:divBdr>
        <w:top w:val="none" w:sz="0" w:space="0" w:color="auto"/>
        <w:left w:val="none" w:sz="0" w:space="0" w:color="auto"/>
        <w:bottom w:val="none" w:sz="0" w:space="0" w:color="auto"/>
        <w:right w:val="none" w:sz="0" w:space="0" w:color="auto"/>
      </w:divBdr>
    </w:div>
    <w:div w:id="584387138">
      <w:bodyDiv w:val="1"/>
      <w:marLeft w:val="0"/>
      <w:marRight w:val="0"/>
      <w:marTop w:val="0"/>
      <w:marBottom w:val="0"/>
      <w:divBdr>
        <w:top w:val="none" w:sz="0" w:space="0" w:color="auto"/>
        <w:left w:val="none" w:sz="0" w:space="0" w:color="auto"/>
        <w:bottom w:val="none" w:sz="0" w:space="0" w:color="auto"/>
        <w:right w:val="none" w:sz="0" w:space="0" w:color="auto"/>
      </w:divBdr>
    </w:div>
    <w:div w:id="781149449">
      <w:bodyDiv w:val="1"/>
      <w:marLeft w:val="0"/>
      <w:marRight w:val="0"/>
      <w:marTop w:val="0"/>
      <w:marBottom w:val="0"/>
      <w:divBdr>
        <w:top w:val="none" w:sz="0" w:space="0" w:color="auto"/>
        <w:left w:val="none" w:sz="0" w:space="0" w:color="auto"/>
        <w:bottom w:val="none" w:sz="0" w:space="0" w:color="auto"/>
        <w:right w:val="none" w:sz="0" w:space="0" w:color="auto"/>
      </w:divBdr>
    </w:div>
    <w:div w:id="1530681584">
      <w:bodyDiv w:val="1"/>
      <w:marLeft w:val="0"/>
      <w:marRight w:val="0"/>
      <w:marTop w:val="0"/>
      <w:marBottom w:val="0"/>
      <w:divBdr>
        <w:top w:val="none" w:sz="0" w:space="0" w:color="auto"/>
        <w:left w:val="none" w:sz="0" w:space="0" w:color="auto"/>
        <w:bottom w:val="none" w:sz="0" w:space="0" w:color="auto"/>
        <w:right w:val="none" w:sz="0" w:space="0" w:color="auto"/>
      </w:divBdr>
    </w:div>
    <w:div w:id="17513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pl/web/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zdrowie/program-rozwoju-e-zdrowia-na-lata-2022-20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zdrowie/zdrowa-przyszlosc-ramy-strategiczne-rozwoju-systemu-ochrony-zdrowia-na-lata-2021-2027-z-perspektywa-do-2030" TargetMode="External"/><Relationship Id="rId5" Type="http://schemas.openxmlformats.org/officeDocument/2006/relationships/webSettings" Target="webSettings.xml"/><Relationship Id="rId15" Type="http://schemas.openxmlformats.org/officeDocument/2006/relationships/hyperlink" Target="https://www.gov.pl/web/dfe-mswia/przepisy-wspolne-dla-funduszy-ue-na-perspektywe-finansowa-ue-2021-2027" TargetMode="External"/><Relationship Id="rId10" Type="http://schemas.openxmlformats.org/officeDocument/2006/relationships/hyperlink" Target="https://basiw.mz.gov.pl/mapy-informacje/mapa-2022-2026/analizy/" TargetMode="External"/><Relationship Id="rId4" Type="http://schemas.openxmlformats.org/officeDocument/2006/relationships/settings" Target="settings.xml"/><Relationship Id="rId9" Type="http://schemas.openxmlformats.org/officeDocument/2006/relationships/hyperlink" Target="https://www.gov.pl/web/zdrowie/mapa-potrzeb-zdrowotnych" TargetMode="External"/><Relationship Id="rId14" Type="http://schemas.openxmlformats.org/officeDocument/2006/relationships/hyperlink" Target="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52E62-142B-4C81-8E89-932E4D80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3504</Words>
  <Characters>21028</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Chabiera Robert</dc:creator>
  <cp:keywords/>
  <dc:description/>
  <cp:lastModifiedBy>Pietraszek Izabela</cp:lastModifiedBy>
  <cp:revision>19</cp:revision>
  <cp:lastPrinted>2025-12-12T12:44:00Z</cp:lastPrinted>
  <dcterms:created xsi:type="dcterms:W3CDTF">2025-12-12T12:00:00Z</dcterms:created>
  <dcterms:modified xsi:type="dcterms:W3CDTF">2026-01-19T12:47:00Z</dcterms:modified>
</cp:coreProperties>
</file>