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8A4E10" w14:textId="04E7BCE6" w:rsidR="00FD7794" w:rsidRPr="00CF074F" w:rsidRDefault="00FD7794" w:rsidP="009A3B8B">
      <w:pPr>
        <w:jc w:val="right"/>
        <w:rPr>
          <w:sz w:val="22"/>
          <w:szCs w:val="22"/>
        </w:rPr>
      </w:pPr>
      <w:r w:rsidRPr="00CF074F">
        <w:rPr>
          <w:sz w:val="22"/>
          <w:szCs w:val="22"/>
        </w:rPr>
        <w:t xml:space="preserve">Warszawa, </w:t>
      </w:r>
      <w:r w:rsidR="0001572F">
        <w:rPr>
          <w:sz w:val="22"/>
          <w:szCs w:val="22"/>
        </w:rPr>
        <w:t>…..</w:t>
      </w:r>
      <w:r w:rsidR="001F17E5" w:rsidRPr="00CF074F">
        <w:rPr>
          <w:sz w:val="22"/>
          <w:szCs w:val="22"/>
        </w:rPr>
        <w:t xml:space="preserve"> </w:t>
      </w:r>
      <w:r w:rsidR="00CF074F" w:rsidRPr="00CF074F">
        <w:rPr>
          <w:sz w:val="22"/>
          <w:szCs w:val="22"/>
        </w:rPr>
        <w:t>października</w:t>
      </w:r>
      <w:r w:rsidR="005B7D2F" w:rsidRPr="00CF074F">
        <w:rPr>
          <w:sz w:val="22"/>
          <w:szCs w:val="22"/>
        </w:rPr>
        <w:t xml:space="preserve"> </w:t>
      </w:r>
      <w:r w:rsidRPr="00CF074F">
        <w:rPr>
          <w:sz w:val="22"/>
          <w:szCs w:val="22"/>
        </w:rPr>
        <w:t>202</w:t>
      </w:r>
      <w:r w:rsidR="00CF074F" w:rsidRPr="00CF074F">
        <w:rPr>
          <w:sz w:val="22"/>
          <w:szCs w:val="22"/>
        </w:rPr>
        <w:t>5</w:t>
      </w:r>
      <w:r w:rsidRPr="00CF074F">
        <w:rPr>
          <w:sz w:val="22"/>
          <w:szCs w:val="22"/>
        </w:rPr>
        <w:t xml:space="preserve"> roku</w:t>
      </w:r>
    </w:p>
    <w:p w14:paraId="46E18BFC" w14:textId="77777777" w:rsidR="00FD7794" w:rsidRPr="00CF074F" w:rsidRDefault="00FD7794" w:rsidP="009A3B8B">
      <w:pPr>
        <w:jc w:val="both"/>
        <w:rPr>
          <w:rFonts w:cstheme="minorHAnsi"/>
          <w:b/>
          <w:bCs/>
          <w:color w:val="FF0000"/>
          <w:sz w:val="22"/>
          <w:szCs w:val="22"/>
        </w:rPr>
      </w:pPr>
    </w:p>
    <w:p w14:paraId="55C42A06" w14:textId="165C678C" w:rsidR="00FD7794" w:rsidRPr="00CF074F" w:rsidRDefault="00FD7794" w:rsidP="0024090E">
      <w:pPr>
        <w:spacing w:after="0" w:line="276" w:lineRule="auto"/>
        <w:jc w:val="center"/>
        <w:rPr>
          <w:rFonts w:cstheme="minorHAnsi"/>
          <w:b/>
          <w:bCs/>
          <w:sz w:val="22"/>
          <w:szCs w:val="22"/>
        </w:rPr>
      </w:pPr>
      <w:r w:rsidRPr="00CF074F">
        <w:rPr>
          <w:rFonts w:cstheme="minorHAnsi"/>
          <w:b/>
          <w:bCs/>
          <w:sz w:val="22"/>
          <w:szCs w:val="22"/>
        </w:rPr>
        <w:t>Notatka</w:t>
      </w:r>
      <w:r w:rsidR="00DB3372" w:rsidRPr="00CF074F">
        <w:rPr>
          <w:rFonts w:cstheme="minorHAnsi"/>
          <w:b/>
          <w:bCs/>
          <w:sz w:val="22"/>
          <w:szCs w:val="22"/>
        </w:rPr>
        <w:t xml:space="preserve"> ze spotkania grupy roboczej EFRR przy KM FEM 2021-2027</w:t>
      </w:r>
    </w:p>
    <w:p w14:paraId="48C94B22" w14:textId="77777777" w:rsidR="00DB3372" w:rsidRPr="00CF074F" w:rsidRDefault="00DB3372" w:rsidP="009A3B8B">
      <w:pPr>
        <w:spacing w:after="0" w:line="276" w:lineRule="auto"/>
        <w:jc w:val="both"/>
        <w:rPr>
          <w:rFonts w:cstheme="minorHAnsi"/>
          <w:b/>
          <w:bCs/>
          <w:sz w:val="22"/>
          <w:szCs w:val="22"/>
        </w:rPr>
      </w:pPr>
    </w:p>
    <w:p w14:paraId="19C9D17A" w14:textId="529F83D1" w:rsidR="001D644A" w:rsidRPr="00CF074F" w:rsidRDefault="001D644A" w:rsidP="009A3B8B">
      <w:pPr>
        <w:spacing w:after="0" w:line="276" w:lineRule="auto"/>
        <w:jc w:val="both"/>
        <w:rPr>
          <w:rFonts w:cstheme="minorHAnsi"/>
          <w:sz w:val="22"/>
          <w:szCs w:val="22"/>
        </w:rPr>
      </w:pPr>
      <w:r w:rsidRPr="00CF074F">
        <w:rPr>
          <w:rFonts w:cstheme="minorHAnsi"/>
          <w:sz w:val="22"/>
          <w:szCs w:val="22"/>
        </w:rPr>
        <w:t xml:space="preserve">Spotkanie grupy roboczej EFRR przy KM FEM 2021-2027 odbyło się w dniu </w:t>
      </w:r>
      <w:r w:rsidR="00CF074F" w:rsidRPr="00CF074F">
        <w:rPr>
          <w:rFonts w:cstheme="minorHAnsi"/>
          <w:sz w:val="22"/>
          <w:szCs w:val="22"/>
        </w:rPr>
        <w:t>15</w:t>
      </w:r>
      <w:r w:rsidRPr="00CF074F">
        <w:rPr>
          <w:rFonts w:cstheme="minorHAnsi"/>
          <w:sz w:val="22"/>
          <w:szCs w:val="22"/>
        </w:rPr>
        <w:t>.</w:t>
      </w:r>
      <w:r w:rsidR="00CF074F" w:rsidRPr="00CF074F">
        <w:rPr>
          <w:rFonts w:cstheme="minorHAnsi"/>
          <w:sz w:val="22"/>
          <w:szCs w:val="22"/>
        </w:rPr>
        <w:t>10</w:t>
      </w:r>
      <w:r w:rsidRPr="00CF074F">
        <w:rPr>
          <w:rFonts w:cstheme="minorHAnsi"/>
          <w:sz w:val="22"/>
          <w:szCs w:val="22"/>
        </w:rPr>
        <w:t xml:space="preserve">.2025 roku w </w:t>
      </w:r>
      <w:r w:rsidR="00025C45" w:rsidRPr="00CF074F">
        <w:rPr>
          <w:rFonts w:cstheme="minorHAnsi"/>
          <w:sz w:val="22"/>
          <w:szCs w:val="22"/>
        </w:rPr>
        <w:t> </w:t>
      </w:r>
      <w:r w:rsidRPr="00CF074F">
        <w:rPr>
          <w:rFonts w:cstheme="minorHAnsi"/>
          <w:sz w:val="22"/>
          <w:szCs w:val="22"/>
        </w:rPr>
        <w:t xml:space="preserve">siedzibie Urzędu Marszałkowskiego przy ul. </w:t>
      </w:r>
      <w:r w:rsidR="00E15B6D" w:rsidRPr="00CF074F">
        <w:rPr>
          <w:rFonts w:cstheme="minorHAnsi"/>
          <w:sz w:val="22"/>
          <w:szCs w:val="22"/>
        </w:rPr>
        <w:t>Brechta 7</w:t>
      </w:r>
      <w:r w:rsidRPr="00CF074F">
        <w:rPr>
          <w:rFonts w:cstheme="minorHAnsi"/>
          <w:sz w:val="22"/>
          <w:szCs w:val="22"/>
        </w:rPr>
        <w:t xml:space="preserve"> w Warszawie.</w:t>
      </w:r>
    </w:p>
    <w:p w14:paraId="6E75E56C" w14:textId="77777777" w:rsidR="001D644A" w:rsidRPr="00CF074F" w:rsidRDefault="001D644A" w:rsidP="009A3B8B">
      <w:pPr>
        <w:spacing w:after="0" w:line="276" w:lineRule="auto"/>
        <w:jc w:val="both"/>
        <w:rPr>
          <w:rFonts w:cstheme="minorHAnsi"/>
          <w:b/>
          <w:bCs/>
          <w:color w:val="FF0000"/>
          <w:sz w:val="22"/>
          <w:szCs w:val="22"/>
        </w:rPr>
      </w:pPr>
    </w:p>
    <w:p w14:paraId="3BEF519A" w14:textId="3C04FFD5" w:rsidR="001D644A" w:rsidRPr="00CF074F" w:rsidRDefault="001D644A" w:rsidP="009A3B8B">
      <w:pPr>
        <w:pStyle w:val="Akapitzlist"/>
        <w:numPr>
          <w:ilvl w:val="0"/>
          <w:numId w:val="11"/>
        </w:numPr>
        <w:ind w:left="284" w:hanging="284"/>
        <w:jc w:val="both"/>
        <w:rPr>
          <w:b/>
          <w:bCs/>
          <w:sz w:val="22"/>
          <w:szCs w:val="22"/>
          <w:u w:val="single"/>
        </w:rPr>
      </w:pPr>
      <w:r w:rsidRPr="00CF074F">
        <w:rPr>
          <w:b/>
          <w:bCs/>
          <w:sz w:val="22"/>
          <w:szCs w:val="22"/>
          <w:u w:val="single"/>
        </w:rPr>
        <w:t>Celem spotkania było omówienie projektu kryteriów</w:t>
      </w:r>
      <w:r w:rsidR="00CF074F" w:rsidRPr="00CF074F">
        <w:t xml:space="preserve"> </w:t>
      </w:r>
      <w:r w:rsidR="00CF074F" w:rsidRPr="00CF074F">
        <w:rPr>
          <w:b/>
          <w:bCs/>
          <w:sz w:val="22"/>
          <w:szCs w:val="22"/>
          <w:u w:val="single"/>
        </w:rPr>
        <w:t>dostępowych i merytorycznych szczegółowych dla</w:t>
      </w:r>
      <w:r w:rsidRPr="00CF074F">
        <w:rPr>
          <w:b/>
          <w:bCs/>
          <w:sz w:val="22"/>
          <w:szCs w:val="22"/>
          <w:u w:val="single"/>
        </w:rPr>
        <w:t>:</w:t>
      </w:r>
    </w:p>
    <w:p w14:paraId="57CD40B5" w14:textId="1828D899" w:rsidR="00CF074F" w:rsidRPr="00CF074F" w:rsidRDefault="00CF074F" w:rsidP="00CF074F">
      <w:pPr>
        <w:pStyle w:val="Akapitzlist"/>
        <w:numPr>
          <w:ilvl w:val="0"/>
          <w:numId w:val="7"/>
        </w:numPr>
        <w:ind w:left="567" w:hanging="284"/>
        <w:jc w:val="both"/>
        <w:rPr>
          <w:sz w:val="22"/>
          <w:szCs w:val="22"/>
        </w:rPr>
      </w:pPr>
      <w:r w:rsidRPr="00CF074F">
        <w:rPr>
          <w:sz w:val="22"/>
          <w:szCs w:val="22"/>
        </w:rPr>
        <w:t>Działania 3.1 Mobilność miejska, Typ projektów – Infrastruktura rowerowa i piesza;</w:t>
      </w:r>
    </w:p>
    <w:p w14:paraId="4867654E" w14:textId="77777777" w:rsidR="00CF074F" w:rsidRPr="00CF074F" w:rsidRDefault="00CF074F" w:rsidP="00CF074F">
      <w:pPr>
        <w:pStyle w:val="Akapitzlist"/>
        <w:numPr>
          <w:ilvl w:val="0"/>
          <w:numId w:val="7"/>
        </w:numPr>
        <w:ind w:left="567" w:hanging="284"/>
        <w:jc w:val="both"/>
        <w:rPr>
          <w:sz w:val="22"/>
          <w:szCs w:val="22"/>
        </w:rPr>
      </w:pPr>
      <w:r w:rsidRPr="00CF074F">
        <w:rPr>
          <w:sz w:val="22"/>
          <w:szCs w:val="22"/>
        </w:rPr>
        <w:t>Działania 3.1 Mobilność miejska, Typ projektów – Budowa i przebudowa infrastruktury transportu publicznego;</w:t>
      </w:r>
      <w:bookmarkStart w:id="0" w:name="_Hlk162955764"/>
    </w:p>
    <w:p w14:paraId="1598FEB0" w14:textId="4A1951E4" w:rsidR="00E236E7" w:rsidRPr="00CF074F" w:rsidRDefault="00CF074F" w:rsidP="00CF074F">
      <w:pPr>
        <w:pStyle w:val="Akapitzlist"/>
        <w:numPr>
          <w:ilvl w:val="0"/>
          <w:numId w:val="7"/>
        </w:numPr>
        <w:ind w:left="567" w:hanging="284"/>
        <w:jc w:val="both"/>
        <w:rPr>
          <w:sz w:val="22"/>
          <w:szCs w:val="22"/>
        </w:rPr>
      </w:pPr>
      <w:r w:rsidRPr="00CF074F">
        <w:rPr>
          <w:sz w:val="22"/>
          <w:szCs w:val="22"/>
        </w:rPr>
        <w:t>Działania 5.8 Infrastruktura szkolnictwa wyższego, Typ projektów - Infrastruktura szkolnictwa wyższego.</w:t>
      </w:r>
    </w:p>
    <w:p w14:paraId="3426C0E8" w14:textId="77777777" w:rsidR="00CF074F" w:rsidRPr="00CF074F" w:rsidRDefault="00CF074F" w:rsidP="009A3B8B">
      <w:pPr>
        <w:pStyle w:val="Akapitzlist"/>
        <w:ind w:left="567"/>
        <w:jc w:val="both"/>
        <w:rPr>
          <w:color w:val="FF0000"/>
          <w:sz w:val="22"/>
          <w:szCs w:val="22"/>
        </w:rPr>
      </w:pPr>
    </w:p>
    <w:bookmarkEnd w:id="0"/>
    <w:p w14:paraId="2FC6415F" w14:textId="77777777" w:rsidR="00FD7794" w:rsidRPr="00CF074F" w:rsidRDefault="00FD7794" w:rsidP="009A3B8B">
      <w:pPr>
        <w:pStyle w:val="Akapitzlist"/>
        <w:numPr>
          <w:ilvl w:val="0"/>
          <w:numId w:val="11"/>
        </w:numPr>
        <w:ind w:left="284" w:hanging="284"/>
        <w:jc w:val="both"/>
        <w:rPr>
          <w:b/>
          <w:bCs/>
          <w:sz w:val="22"/>
          <w:szCs w:val="22"/>
          <w:u w:val="single"/>
        </w:rPr>
      </w:pPr>
      <w:r w:rsidRPr="00CF074F">
        <w:rPr>
          <w:b/>
          <w:bCs/>
          <w:sz w:val="22"/>
          <w:szCs w:val="22"/>
          <w:u w:val="single"/>
        </w:rPr>
        <w:t>Uczestnicy spotkania:</w:t>
      </w:r>
    </w:p>
    <w:p w14:paraId="63C6ADCE" w14:textId="680DB996" w:rsidR="00FD7794" w:rsidRPr="00CF074F" w:rsidRDefault="00FD7794" w:rsidP="009A3B8B">
      <w:pPr>
        <w:pStyle w:val="Akapitzlist"/>
        <w:numPr>
          <w:ilvl w:val="0"/>
          <w:numId w:val="7"/>
        </w:numPr>
        <w:ind w:left="567" w:hanging="284"/>
        <w:jc w:val="both"/>
        <w:rPr>
          <w:sz w:val="22"/>
          <w:szCs w:val="22"/>
        </w:rPr>
      </w:pPr>
      <w:r w:rsidRPr="00CF074F">
        <w:rPr>
          <w:sz w:val="22"/>
          <w:szCs w:val="22"/>
        </w:rPr>
        <w:t>przedstawiciele IZ RPO WM,</w:t>
      </w:r>
    </w:p>
    <w:p w14:paraId="72629B7C" w14:textId="77777777" w:rsidR="00E236E7" w:rsidRDefault="00FD7794" w:rsidP="009A3B8B">
      <w:pPr>
        <w:pStyle w:val="Akapitzlist"/>
        <w:numPr>
          <w:ilvl w:val="0"/>
          <w:numId w:val="7"/>
        </w:numPr>
        <w:ind w:left="567" w:hanging="284"/>
        <w:jc w:val="both"/>
        <w:rPr>
          <w:sz w:val="22"/>
          <w:szCs w:val="22"/>
        </w:rPr>
      </w:pPr>
      <w:r w:rsidRPr="00CF074F">
        <w:rPr>
          <w:sz w:val="22"/>
          <w:szCs w:val="22"/>
        </w:rPr>
        <w:t>przedstawiciele MJWPU,</w:t>
      </w:r>
    </w:p>
    <w:p w14:paraId="696123E5" w14:textId="09090780" w:rsidR="00983106" w:rsidRPr="00CF074F" w:rsidRDefault="00983106" w:rsidP="009A3B8B">
      <w:pPr>
        <w:pStyle w:val="Akapitzlist"/>
        <w:numPr>
          <w:ilvl w:val="0"/>
          <w:numId w:val="7"/>
        </w:numPr>
        <w:ind w:left="567" w:hanging="284"/>
        <w:jc w:val="both"/>
        <w:rPr>
          <w:sz w:val="22"/>
          <w:szCs w:val="22"/>
        </w:rPr>
      </w:pPr>
      <w:r>
        <w:rPr>
          <w:sz w:val="22"/>
          <w:szCs w:val="22"/>
        </w:rPr>
        <w:t>przedstawiciele Mazowieckiej Agencji Energetycznej</w:t>
      </w:r>
    </w:p>
    <w:p w14:paraId="6BD7AA46" w14:textId="77777777" w:rsidR="00C01B5F" w:rsidRPr="00CF074F" w:rsidRDefault="00C01B5F" w:rsidP="009A3B8B">
      <w:pPr>
        <w:pStyle w:val="Akapitzlist"/>
        <w:ind w:left="567"/>
        <w:jc w:val="both"/>
        <w:rPr>
          <w:color w:val="FF0000"/>
          <w:sz w:val="22"/>
          <w:szCs w:val="22"/>
        </w:rPr>
      </w:pPr>
    </w:p>
    <w:p w14:paraId="2DB6209B" w14:textId="77777777" w:rsidR="00FD7794" w:rsidRPr="00CF074F" w:rsidRDefault="00FD7794" w:rsidP="009A3B8B">
      <w:pPr>
        <w:pStyle w:val="Akapitzlist"/>
        <w:numPr>
          <w:ilvl w:val="0"/>
          <w:numId w:val="11"/>
        </w:numPr>
        <w:ind w:left="284" w:hanging="284"/>
        <w:jc w:val="both"/>
        <w:rPr>
          <w:b/>
          <w:bCs/>
          <w:sz w:val="22"/>
          <w:szCs w:val="22"/>
          <w:u w:val="single"/>
        </w:rPr>
      </w:pPr>
      <w:r w:rsidRPr="00CF074F">
        <w:rPr>
          <w:b/>
          <w:bCs/>
          <w:sz w:val="22"/>
          <w:szCs w:val="22"/>
          <w:u w:val="single"/>
        </w:rPr>
        <w:t>Przebieg spotkania:</w:t>
      </w:r>
    </w:p>
    <w:p w14:paraId="3F0DAD8E" w14:textId="0557E5CD" w:rsidR="00FD7794" w:rsidRPr="005075CB" w:rsidRDefault="00FD7794" w:rsidP="009A3B8B">
      <w:pPr>
        <w:jc w:val="both"/>
        <w:rPr>
          <w:color w:val="FF0000"/>
          <w:sz w:val="22"/>
          <w:szCs w:val="22"/>
        </w:rPr>
      </w:pPr>
      <w:r w:rsidRPr="005075CB">
        <w:rPr>
          <w:b/>
          <w:bCs/>
          <w:sz w:val="22"/>
          <w:szCs w:val="22"/>
          <w:u w:val="single"/>
        </w:rPr>
        <w:t>W pierwszej części spotkania</w:t>
      </w:r>
      <w:r w:rsidRPr="005075CB">
        <w:rPr>
          <w:sz w:val="22"/>
          <w:szCs w:val="22"/>
        </w:rPr>
        <w:t xml:space="preserve"> omówione zostały kryteria dla nabor</w:t>
      </w:r>
      <w:r w:rsidR="00983106" w:rsidRPr="005075CB">
        <w:rPr>
          <w:sz w:val="22"/>
          <w:szCs w:val="22"/>
        </w:rPr>
        <w:t>u</w:t>
      </w:r>
      <w:r w:rsidRPr="005075CB">
        <w:rPr>
          <w:sz w:val="22"/>
          <w:szCs w:val="22"/>
        </w:rPr>
        <w:t xml:space="preserve"> w ramach </w:t>
      </w:r>
      <w:r w:rsidR="005B7D2F" w:rsidRPr="005075CB">
        <w:rPr>
          <w:sz w:val="22"/>
          <w:szCs w:val="22"/>
        </w:rPr>
        <w:t xml:space="preserve">Działania </w:t>
      </w:r>
      <w:r w:rsidR="00CF074F" w:rsidRPr="005075CB">
        <w:rPr>
          <w:sz w:val="22"/>
          <w:szCs w:val="22"/>
        </w:rPr>
        <w:t>3</w:t>
      </w:r>
      <w:r w:rsidR="005B7D2F" w:rsidRPr="005075CB">
        <w:rPr>
          <w:sz w:val="22"/>
          <w:szCs w:val="22"/>
        </w:rPr>
        <w:t>.</w:t>
      </w:r>
      <w:r w:rsidR="00CF074F" w:rsidRPr="005075CB">
        <w:rPr>
          <w:sz w:val="22"/>
          <w:szCs w:val="22"/>
        </w:rPr>
        <w:t xml:space="preserve">1 </w:t>
      </w:r>
      <w:r w:rsidR="00983106" w:rsidRPr="005075CB">
        <w:rPr>
          <w:sz w:val="22"/>
          <w:szCs w:val="22"/>
        </w:rPr>
        <w:t>Typ projektów – Infrastruktura rowerowa i piesza</w:t>
      </w:r>
      <w:r w:rsidR="005A59B7">
        <w:rPr>
          <w:sz w:val="22"/>
          <w:szCs w:val="22"/>
        </w:rPr>
        <w:t>.</w:t>
      </w:r>
    </w:p>
    <w:p w14:paraId="0AC7F2DC" w14:textId="4B9BBF3F" w:rsidR="00FD7794" w:rsidRPr="00CF074F" w:rsidRDefault="005075CB" w:rsidP="009A3B8B">
      <w:pPr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FD7794" w:rsidRPr="00CF074F">
        <w:rPr>
          <w:sz w:val="22"/>
          <w:szCs w:val="22"/>
        </w:rPr>
        <w:t xml:space="preserve">odczas prezentowania i omawiania kryteriów </w:t>
      </w:r>
      <w:r>
        <w:rPr>
          <w:sz w:val="22"/>
          <w:szCs w:val="22"/>
        </w:rPr>
        <w:t>przedstawiciele MAE zgłosili propozycje zmian w punktacji kryterium pn. „</w:t>
      </w:r>
      <w:r w:rsidRPr="005075CB">
        <w:rPr>
          <w:sz w:val="22"/>
          <w:szCs w:val="22"/>
        </w:rPr>
        <w:t>Towarzysząca infrastruktura rowerowa poprawiająca bezpieczeństwo</w:t>
      </w:r>
      <w:r>
        <w:rPr>
          <w:sz w:val="22"/>
          <w:szCs w:val="22"/>
        </w:rPr>
        <w:t xml:space="preserve">”. </w:t>
      </w:r>
      <w:r w:rsidRPr="005075C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 </w:t>
      </w:r>
      <w:r w:rsidRPr="005075CB">
        <w:rPr>
          <w:sz w:val="22"/>
          <w:szCs w:val="22"/>
        </w:rPr>
        <w:t xml:space="preserve">wyniku dyskusji </w:t>
      </w:r>
      <w:r>
        <w:rPr>
          <w:sz w:val="22"/>
          <w:szCs w:val="22"/>
        </w:rPr>
        <w:t xml:space="preserve">zgłoszone propozycje nie spotkały się z akceptacją pozostałych uczestników spotkania. W związku z tym nie </w:t>
      </w:r>
      <w:r w:rsidR="00FD7794" w:rsidRPr="00CF074F">
        <w:rPr>
          <w:sz w:val="22"/>
          <w:szCs w:val="22"/>
        </w:rPr>
        <w:t xml:space="preserve">dokonano zmian w stosunku do wersji przesłanej członkom Grupy roboczej. </w:t>
      </w:r>
    </w:p>
    <w:p w14:paraId="59B1D362" w14:textId="7F13FB1A" w:rsidR="00FC120F" w:rsidRPr="00CF074F" w:rsidRDefault="00FC120F" w:rsidP="009A3B8B">
      <w:pPr>
        <w:jc w:val="both"/>
        <w:rPr>
          <w:color w:val="FF0000"/>
          <w:sz w:val="22"/>
          <w:szCs w:val="22"/>
        </w:rPr>
      </w:pPr>
      <w:r w:rsidRPr="00CF074F">
        <w:rPr>
          <w:sz w:val="22"/>
          <w:szCs w:val="22"/>
        </w:rPr>
        <w:t xml:space="preserve">Przedmiotem </w:t>
      </w:r>
      <w:r w:rsidRPr="00CF074F">
        <w:rPr>
          <w:b/>
          <w:bCs/>
          <w:sz w:val="22"/>
          <w:szCs w:val="22"/>
          <w:u w:val="single"/>
        </w:rPr>
        <w:t>drugiej części spotkania</w:t>
      </w:r>
      <w:r w:rsidRPr="00CF074F">
        <w:rPr>
          <w:sz w:val="22"/>
          <w:szCs w:val="22"/>
        </w:rPr>
        <w:t xml:space="preserve"> były kryteria dla </w:t>
      </w:r>
      <w:r w:rsidR="005075CB" w:rsidRPr="005075CB">
        <w:rPr>
          <w:sz w:val="22"/>
          <w:szCs w:val="22"/>
        </w:rPr>
        <w:t>Działania 3.1 Typ projektów</w:t>
      </w:r>
      <w:r w:rsidR="005075CB" w:rsidRPr="005075CB">
        <w:t xml:space="preserve"> </w:t>
      </w:r>
      <w:r w:rsidR="005075CB" w:rsidRPr="005075CB">
        <w:rPr>
          <w:sz w:val="22"/>
          <w:szCs w:val="22"/>
        </w:rPr>
        <w:t>Budowa i przebudowa infrastruktury transportu publicznego</w:t>
      </w:r>
      <w:r w:rsidR="005075CB">
        <w:rPr>
          <w:sz w:val="22"/>
          <w:szCs w:val="22"/>
        </w:rPr>
        <w:t>.</w:t>
      </w:r>
    </w:p>
    <w:p w14:paraId="6FE634D0" w14:textId="1817972F" w:rsidR="00650CC7" w:rsidRDefault="00FC120F" w:rsidP="00650CC7">
      <w:pPr>
        <w:jc w:val="both"/>
        <w:rPr>
          <w:sz w:val="22"/>
          <w:szCs w:val="22"/>
        </w:rPr>
      </w:pPr>
      <w:r w:rsidRPr="00CF074F">
        <w:rPr>
          <w:sz w:val="22"/>
          <w:szCs w:val="22"/>
        </w:rPr>
        <w:t xml:space="preserve">W wyniku dyskusji podczas prezentowania i omawiania kryteriów </w:t>
      </w:r>
      <w:r w:rsidR="005A1F1F">
        <w:rPr>
          <w:sz w:val="22"/>
          <w:szCs w:val="22"/>
        </w:rPr>
        <w:t xml:space="preserve">nie </w:t>
      </w:r>
      <w:r w:rsidRPr="00CF074F">
        <w:rPr>
          <w:sz w:val="22"/>
          <w:szCs w:val="22"/>
        </w:rPr>
        <w:t xml:space="preserve">dokonano zmian w stosunku do wersji przesłanej członkom </w:t>
      </w:r>
      <w:r w:rsidR="0081537D" w:rsidRPr="00CF074F">
        <w:rPr>
          <w:sz w:val="22"/>
          <w:szCs w:val="22"/>
        </w:rPr>
        <w:t>g</w:t>
      </w:r>
      <w:r w:rsidRPr="00CF074F">
        <w:rPr>
          <w:sz w:val="22"/>
          <w:szCs w:val="22"/>
        </w:rPr>
        <w:t>rupy roboczej</w:t>
      </w:r>
      <w:r w:rsidR="005A59B7">
        <w:rPr>
          <w:sz w:val="22"/>
          <w:szCs w:val="22"/>
        </w:rPr>
        <w:t>.</w:t>
      </w:r>
    </w:p>
    <w:p w14:paraId="0C0546D0" w14:textId="5D33BD3A" w:rsidR="008A1EF3" w:rsidRPr="009B78DA" w:rsidRDefault="00CF074F" w:rsidP="008A1EF3">
      <w:pPr>
        <w:jc w:val="both"/>
        <w:rPr>
          <w:b/>
          <w:bCs/>
          <w:sz w:val="22"/>
          <w:szCs w:val="22"/>
        </w:rPr>
      </w:pPr>
      <w:r w:rsidRPr="005A1F1F">
        <w:rPr>
          <w:b/>
          <w:bCs/>
          <w:sz w:val="22"/>
          <w:szCs w:val="22"/>
          <w:u w:val="single"/>
        </w:rPr>
        <w:t>Ostatni</w:t>
      </w:r>
      <w:r w:rsidR="00250E7E" w:rsidRPr="005A1F1F">
        <w:rPr>
          <w:b/>
          <w:bCs/>
          <w:sz w:val="22"/>
          <w:szCs w:val="22"/>
          <w:u w:val="single"/>
        </w:rPr>
        <w:t>a</w:t>
      </w:r>
      <w:r w:rsidRPr="005A1F1F">
        <w:rPr>
          <w:b/>
          <w:bCs/>
          <w:sz w:val="22"/>
          <w:szCs w:val="22"/>
          <w:u w:val="single"/>
        </w:rPr>
        <w:t xml:space="preserve"> część spotkania</w:t>
      </w:r>
      <w:r w:rsidR="00F809E0" w:rsidRPr="008A1EF3">
        <w:rPr>
          <w:sz w:val="22"/>
          <w:szCs w:val="22"/>
        </w:rPr>
        <w:t xml:space="preserve"> </w:t>
      </w:r>
      <w:r w:rsidRPr="008A1EF3">
        <w:rPr>
          <w:sz w:val="22"/>
          <w:szCs w:val="22"/>
        </w:rPr>
        <w:t>poświęcona</w:t>
      </w:r>
      <w:r w:rsidR="00F809E0" w:rsidRPr="008A1EF3">
        <w:rPr>
          <w:sz w:val="22"/>
          <w:szCs w:val="22"/>
        </w:rPr>
        <w:t xml:space="preserve"> została</w:t>
      </w:r>
      <w:r w:rsidRPr="008A1EF3">
        <w:rPr>
          <w:sz w:val="22"/>
          <w:szCs w:val="22"/>
        </w:rPr>
        <w:t xml:space="preserve"> </w:t>
      </w:r>
      <w:r w:rsidR="00EC2EFC" w:rsidRPr="008A1EF3">
        <w:rPr>
          <w:sz w:val="22"/>
          <w:szCs w:val="22"/>
        </w:rPr>
        <w:t>kryteriom wyboru dla Działania 5.8 Infrastruktura szkolnictwa wyższego, Typ projektów - Infrastruktura szkolnictwa wyższego.</w:t>
      </w:r>
      <w:r w:rsidR="008A1EF3" w:rsidRPr="008A1EF3">
        <w:rPr>
          <w:sz w:val="22"/>
          <w:szCs w:val="22"/>
        </w:rPr>
        <w:t xml:space="preserve"> W toku dyskusji nad </w:t>
      </w:r>
      <w:r w:rsidR="008A1EF3" w:rsidRPr="009B78DA">
        <w:rPr>
          <w:sz w:val="22"/>
          <w:szCs w:val="22"/>
        </w:rPr>
        <w:t>przedmiotowymi kryteriami dokonano następujących zmian w stosunku do wersji przesłanej członkom Grupy roboczej:</w:t>
      </w:r>
    </w:p>
    <w:p w14:paraId="0D963D1A" w14:textId="2CA333C1" w:rsidR="00CF074F" w:rsidRPr="009B78DA" w:rsidRDefault="008A1EF3" w:rsidP="008A1EF3">
      <w:pPr>
        <w:jc w:val="both"/>
        <w:rPr>
          <w:sz w:val="22"/>
          <w:szCs w:val="22"/>
        </w:rPr>
      </w:pPr>
      <w:r w:rsidRPr="009B78DA">
        <w:rPr>
          <w:sz w:val="22"/>
          <w:szCs w:val="22"/>
        </w:rPr>
        <w:t>Kryteria dostępu:</w:t>
      </w:r>
    </w:p>
    <w:p w14:paraId="73DA62D1" w14:textId="77777777" w:rsidR="00D8490E" w:rsidRPr="009B78DA" w:rsidRDefault="008A1EF3" w:rsidP="008A1EF3">
      <w:pPr>
        <w:numPr>
          <w:ilvl w:val="0"/>
          <w:numId w:val="13"/>
        </w:numPr>
        <w:jc w:val="both"/>
        <w:rPr>
          <w:sz w:val="22"/>
          <w:szCs w:val="22"/>
        </w:rPr>
      </w:pPr>
      <w:r w:rsidRPr="009B78DA">
        <w:rPr>
          <w:sz w:val="22"/>
          <w:szCs w:val="22"/>
        </w:rPr>
        <w:t xml:space="preserve">Kryterium dostępu nr 1 </w:t>
      </w:r>
      <w:r w:rsidRPr="009B78DA">
        <w:rPr>
          <w:i/>
          <w:iCs/>
          <w:sz w:val="22"/>
          <w:szCs w:val="22"/>
        </w:rPr>
        <w:t>Zgodność z wymaganiami programu operacyjnego w zakresie kierunków kształcenia i zakresu wsparcia</w:t>
      </w:r>
      <w:r w:rsidR="00D8490E" w:rsidRPr="009B78DA">
        <w:rPr>
          <w:i/>
          <w:iCs/>
          <w:sz w:val="22"/>
          <w:szCs w:val="22"/>
        </w:rPr>
        <w:t>:</w:t>
      </w:r>
    </w:p>
    <w:p w14:paraId="6B3963DD" w14:textId="6306E2C6" w:rsidR="00D8490E" w:rsidRPr="00D8490E" w:rsidRDefault="00D8490E" w:rsidP="00D8490E">
      <w:pPr>
        <w:pStyle w:val="Akapitzlist"/>
        <w:numPr>
          <w:ilvl w:val="1"/>
          <w:numId w:val="14"/>
        </w:numPr>
        <w:jc w:val="both"/>
        <w:rPr>
          <w:rFonts w:cstheme="minorHAnsi"/>
          <w:bCs/>
          <w:sz w:val="22"/>
          <w:szCs w:val="22"/>
        </w:rPr>
      </w:pPr>
      <w:r w:rsidRPr="009B78DA">
        <w:rPr>
          <w:rFonts w:cstheme="minorHAnsi"/>
          <w:bCs/>
          <w:sz w:val="22"/>
          <w:szCs w:val="22"/>
        </w:rPr>
        <w:t xml:space="preserve">doprecyzowano informację nt. możliwych do wsparcia </w:t>
      </w:r>
      <w:r w:rsidRPr="00D8490E">
        <w:rPr>
          <w:rFonts w:cstheme="minorHAnsi"/>
          <w:bCs/>
          <w:sz w:val="22"/>
          <w:szCs w:val="22"/>
        </w:rPr>
        <w:t>kierunków medycznych</w:t>
      </w:r>
      <w:r>
        <w:rPr>
          <w:rFonts w:cstheme="minorHAnsi"/>
          <w:bCs/>
          <w:sz w:val="22"/>
          <w:szCs w:val="22"/>
        </w:rPr>
        <w:t>;</w:t>
      </w:r>
    </w:p>
    <w:p w14:paraId="73DDF490" w14:textId="1A36BCB2" w:rsidR="008A1EF3" w:rsidRPr="00D8490E" w:rsidRDefault="00D551DF" w:rsidP="00D8490E">
      <w:pPr>
        <w:pStyle w:val="Akapitzlist"/>
        <w:numPr>
          <w:ilvl w:val="1"/>
          <w:numId w:val="14"/>
        </w:numPr>
        <w:jc w:val="both"/>
        <w:rPr>
          <w:rFonts w:cstheme="minorHAnsi"/>
          <w:bCs/>
          <w:sz w:val="22"/>
          <w:szCs w:val="22"/>
        </w:rPr>
      </w:pPr>
      <w:r w:rsidRPr="00D8490E">
        <w:rPr>
          <w:rFonts w:cstheme="minorHAnsi"/>
          <w:bCs/>
          <w:sz w:val="22"/>
          <w:szCs w:val="22"/>
        </w:rPr>
        <w:lastRenderedPageBreak/>
        <w:t xml:space="preserve"> </w:t>
      </w:r>
      <w:r w:rsidR="00D8490E" w:rsidRPr="00D8490E">
        <w:rPr>
          <w:rFonts w:cstheme="minorHAnsi"/>
          <w:bCs/>
          <w:sz w:val="22"/>
          <w:szCs w:val="22"/>
        </w:rPr>
        <w:t>dokonano zmian w zakresie nazw/publikatorów przywołanych aktów prawnych, zgodnie z podejściem stosowanym we wszystkich kryteriach</w:t>
      </w:r>
      <w:r w:rsidR="00D8490E">
        <w:rPr>
          <w:rFonts w:cstheme="minorHAnsi"/>
          <w:bCs/>
          <w:sz w:val="22"/>
          <w:szCs w:val="22"/>
        </w:rPr>
        <w:t>.</w:t>
      </w:r>
    </w:p>
    <w:p w14:paraId="6DCB2E1D" w14:textId="77777777" w:rsidR="008A1EF3" w:rsidRPr="00DB1C49" w:rsidRDefault="008A1EF3" w:rsidP="008A1EF3">
      <w:pPr>
        <w:numPr>
          <w:ilvl w:val="0"/>
          <w:numId w:val="13"/>
        </w:numPr>
        <w:jc w:val="both"/>
        <w:rPr>
          <w:sz w:val="22"/>
          <w:szCs w:val="22"/>
        </w:rPr>
      </w:pPr>
      <w:r w:rsidRPr="00DB1C49">
        <w:rPr>
          <w:sz w:val="22"/>
          <w:szCs w:val="22"/>
        </w:rPr>
        <w:t xml:space="preserve">Kryterium dostępu nr 2 </w:t>
      </w:r>
      <w:r w:rsidRPr="00DB1C49">
        <w:rPr>
          <w:i/>
          <w:iCs/>
          <w:sz w:val="22"/>
          <w:szCs w:val="22"/>
        </w:rPr>
        <w:t xml:space="preserve">Zgodność z diagnozą potrzeb i deficytów </w:t>
      </w:r>
      <w:r w:rsidRPr="00DB1C49">
        <w:rPr>
          <w:sz w:val="22"/>
          <w:szCs w:val="22"/>
        </w:rPr>
        <w:t>– doprecyzowanie zapisów dotyczących:</w:t>
      </w:r>
    </w:p>
    <w:p w14:paraId="4534EB31" w14:textId="11D31959" w:rsidR="008A1EF3" w:rsidRPr="00D8490E" w:rsidRDefault="008A1EF3" w:rsidP="00D8490E">
      <w:pPr>
        <w:pStyle w:val="Akapitzlist"/>
        <w:numPr>
          <w:ilvl w:val="0"/>
          <w:numId w:val="15"/>
        </w:numPr>
        <w:jc w:val="both"/>
        <w:rPr>
          <w:rFonts w:cstheme="minorHAnsi"/>
          <w:bCs/>
          <w:sz w:val="22"/>
          <w:szCs w:val="22"/>
        </w:rPr>
      </w:pPr>
      <w:r w:rsidRPr="00D8490E">
        <w:rPr>
          <w:rFonts w:cstheme="minorHAnsi"/>
          <w:bCs/>
          <w:sz w:val="22"/>
          <w:szCs w:val="22"/>
        </w:rPr>
        <w:t>możliwości ujęcia wyników diagnozy potrzeb w ramach Studium Wykonalności</w:t>
      </w:r>
      <w:r w:rsidR="00D8490E">
        <w:rPr>
          <w:rFonts w:cstheme="minorHAnsi"/>
          <w:bCs/>
          <w:sz w:val="22"/>
          <w:szCs w:val="22"/>
        </w:rPr>
        <w:t>;</w:t>
      </w:r>
    </w:p>
    <w:p w14:paraId="629D7A4B" w14:textId="3D6AFA56" w:rsidR="008A1EF3" w:rsidRPr="00D8490E" w:rsidRDefault="008A1EF3" w:rsidP="00D8490E">
      <w:pPr>
        <w:pStyle w:val="Akapitzlist"/>
        <w:numPr>
          <w:ilvl w:val="0"/>
          <w:numId w:val="15"/>
        </w:numPr>
        <w:jc w:val="both"/>
        <w:rPr>
          <w:rFonts w:cstheme="minorHAnsi"/>
          <w:bCs/>
          <w:sz w:val="22"/>
          <w:szCs w:val="22"/>
        </w:rPr>
      </w:pPr>
      <w:r w:rsidRPr="00D8490E">
        <w:rPr>
          <w:rFonts w:cstheme="minorHAnsi"/>
          <w:bCs/>
          <w:sz w:val="22"/>
          <w:szCs w:val="22"/>
        </w:rPr>
        <w:t>audytu dostępności, w tym podmiotów mogących opracować audyt na potrzeby projektu.</w:t>
      </w:r>
    </w:p>
    <w:p w14:paraId="7862EA41" w14:textId="1155266E" w:rsidR="008A1EF3" w:rsidRDefault="008A1EF3" w:rsidP="008A1EF3">
      <w:pPr>
        <w:numPr>
          <w:ilvl w:val="0"/>
          <w:numId w:val="13"/>
        </w:numPr>
        <w:jc w:val="both"/>
        <w:rPr>
          <w:sz w:val="22"/>
          <w:szCs w:val="22"/>
        </w:rPr>
      </w:pPr>
      <w:r w:rsidRPr="00B06170">
        <w:rPr>
          <w:sz w:val="22"/>
          <w:szCs w:val="22"/>
        </w:rPr>
        <w:t xml:space="preserve">Kryterium dostępu nr 3 </w:t>
      </w:r>
      <w:r w:rsidRPr="00B06170">
        <w:rPr>
          <w:i/>
          <w:iCs/>
          <w:sz w:val="22"/>
          <w:szCs w:val="22"/>
        </w:rPr>
        <w:t>Projekt bazuje na obecnie istniejącej infrastrukturze</w:t>
      </w:r>
      <w:r w:rsidR="00B06170" w:rsidRPr="00B06170">
        <w:rPr>
          <w:i/>
          <w:iCs/>
          <w:sz w:val="22"/>
          <w:szCs w:val="22"/>
        </w:rPr>
        <w:t xml:space="preserve"> </w:t>
      </w:r>
      <w:r w:rsidR="00B06170" w:rsidRPr="00B06170">
        <w:rPr>
          <w:sz w:val="22"/>
          <w:szCs w:val="22"/>
        </w:rPr>
        <w:t>oraz</w:t>
      </w:r>
      <w:r w:rsidR="00B06170" w:rsidRPr="00B06170">
        <w:rPr>
          <w:i/>
          <w:iCs/>
          <w:sz w:val="22"/>
          <w:szCs w:val="22"/>
        </w:rPr>
        <w:t xml:space="preserve"> </w:t>
      </w:r>
      <w:r w:rsidR="00250E7E">
        <w:rPr>
          <w:i/>
          <w:iCs/>
          <w:sz w:val="22"/>
          <w:szCs w:val="22"/>
        </w:rPr>
        <w:t xml:space="preserve">nr </w:t>
      </w:r>
      <w:r w:rsidR="00B06170" w:rsidRPr="00B06170">
        <w:rPr>
          <w:i/>
          <w:iCs/>
          <w:sz w:val="22"/>
          <w:szCs w:val="22"/>
        </w:rPr>
        <w:t xml:space="preserve">4  </w:t>
      </w:r>
      <w:r w:rsidR="00B06170" w:rsidRPr="00250E7E">
        <w:rPr>
          <w:i/>
          <w:iCs/>
          <w:sz w:val="22"/>
          <w:szCs w:val="22"/>
        </w:rPr>
        <w:t>Wsparcie w obszarze technologii informacyjno-komunikacyjnych (ICT)</w:t>
      </w:r>
      <w:r w:rsidR="00B06170" w:rsidRPr="00B06170">
        <w:rPr>
          <w:sz w:val="22"/>
          <w:szCs w:val="22"/>
        </w:rPr>
        <w:t xml:space="preserve"> – zmiany stylistyczne i porządkujące.</w:t>
      </w:r>
    </w:p>
    <w:p w14:paraId="39EB01B8" w14:textId="37C0A519" w:rsidR="00B06170" w:rsidRPr="00B06170" w:rsidRDefault="00B06170" w:rsidP="008A1EF3">
      <w:pPr>
        <w:numPr>
          <w:ilvl w:val="0"/>
          <w:numId w:val="13"/>
        </w:numPr>
        <w:jc w:val="both"/>
        <w:rPr>
          <w:sz w:val="22"/>
          <w:szCs w:val="22"/>
        </w:rPr>
      </w:pPr>
      <w:r w:rsidRPr="00B06170">
        <w:rPr>
          <w:sz w:val="22"/>
          <w:szCs w:val="22"/>
        </w:rPr>
        <w:t xml:space="preserve">Kryterium dostępu nr 5 - zmiana nazwy kryterium na </w:t>
      </w:r>
      <w:r w:rsidRPr="00B06170">
        <w:rPr>
          <w:i/>
          <w:iCs/>
          <w:sz w:val="22"/>
          <w:szCs w:val="22"/>
        </w:rPr>
        <w:t>„</w:t>
      </w:r>
      <w:r w:rsidRPr="00B06170">
        <w:rPr>
          <w:rFonts w:cstheme="minorHAnsi"/>
          <w:i/>
          <w:iCs/>
          <w:sz w:val="22"/>
          <w:szCs w:val="22"/>
        </w:rPr>
        <w:t>Uczelnia posiada pozytywną ocenę programową kierunku objętego wsparciem, nadaną uchwałą Polskiej Komisji Akredytacyjnej”</w:t>
      </w:r>
      <w:r>
        <w:rPr>
          <w:rFonts w:cstheme="minorHAnsi"/>
          <w:sz w:val="22"/>
          <w:szCs w:val="22"/>
        </w:rPr>
        <w:t>.</w:t>
      </w:r>
    </w:p>
    <w:p w14:paraId="012A9C4D" w14:textId="6229E4E2" w:rsidR="00B06170" w:rsidRDefault="00B06170" w:rsidP="008A1EF3">
      <w:pPr>
        <w:numPr>
          <w:ilvl w:val="0"/>
          <w:numId w:val="13"/>
        </w:numPr>
        <w:jc w:val="both"/>
        <w:rPr>
          <w:sz w:val="22"/>
          <w:szCs w:val="22"/>
        </w:rPr>
      </w:pPr>
      <w:r w:rsidRPr="00B06170">
        <w:rPr>
          <w:sz w:val="22"/>
          <w:szCs w:val="22"/>
        </w:rPr>
        <w:t xml:space="preserve">Kryterium dostępu nr </w:t>
      </w:r>
      <w:r>
        <w:rPr>
          <w:sz w:val="22"/>
          <w:szCs w:val="22"/>
        </w:rPr>
        <w:t>6</w:t>
      </w:r>
      <w:r w:rsidRPr="00B06170">
        <w:rPr>
          <w:sz w:val="22"/>
          <w:szCs w:val="22"/>
        </w:rPr>
        <w:t xml:space="preserve"> </w:t>
      </w:r>
      <w:r w:rsidRPr="00B06170">
        <w:rPr>
          <w:i/>
          <w:iCs/>
          <w:sz w:val="22"/>
          <w:szCs w:val="22"/>
        </w:rPr>
        <w:t>Brak podwójnego finansowania</w:t>
      </w:r>
      <w:r>
        <w:rPr>
          <w:sz w:val="22"/>
          <w:szCs w:val="22"/>
        </w:rPr>
        <w:t xml:space="preserve"> – </w:t>
      </w:r>
      <w:r w:rsidR="00AB1DE3">
        <w:rPr>
          <w:sz w:val="22"/>
          <w:szCs w:val="22"/>
        </w:rPr>
        <w:t>rozszerzenie zapisów kryterium o przesłankę umieszczenia projektu na liście projektów wybranych do dofinansowania ze środków KPO/EFS+.</w:t>
      </w:r>
    </w:p>
    <w:p w14:paraId="086B78A1" w14:textId="78755F1F" w:rsidR="00AB1DE3" w:rsidRPr="00AB1DE3" w:rsidRDefault="00AB1DE3" w:rsidP="008A1EF3">
      <w:pPr>
        <w:numPr>
          <w:ilvl w:val="0"/>
          <w:numId w:val="1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Zrezygnowano z kryteriów dostępu nr 7 </w:t>
      </w:r>
      <w:r w:rsidRPr="00AB1DE3">
        <w:rPr>
          <w:i/>
          <w:iCs/>
          <w:sz w:val="22"/>
          <w:szCs w:val="22"/>
        </w:rPr>
        <w:t>Przeciwdziałanie segregacji</w:t>
      </w:r>
      <w:r>
        <w:rPr>
          <w:sz w:val="22"/>
          <w:szCs w:val="22"/>
        </w:rPr>
        <w:t xml:space="preserve"> oraz nr 8 </w:t>
      </w:r>
      <w:r w:rsidRPr="00AB1DE3">
        <w:rPr>
          <w:i/>
          <w:iCs/>
          <w:sz w:val="22"/>
          <w:szCs w:val="22"/>
        </w:rPr>
        <w:t xml:space="preserve">Spójność z celami Europejskiego Funduszu </w:t>
      </w:r>
      <w:r w:rsidRPr="00AB1DE3">
        <w:rPr>
          <w:sz w:val="22"/>
          <w:szCs w:val="22"/>
        </w:rPr>
        <w:t xml:space="preserve">Społecznego Plus jako </w:t>
      </w:r>
      <w:r>
        <w:rPr>
          <w:sz w:val="22"/>
          <w:szCs w:val="22"/>
        </w:rPr>
        <w:t xml:space="preserve">kryteriów nie mających pełnego odzwierciedlenia w ramach Działania </w:t>
      </w:r>
      <w:r w:rsidRPr="00CF074F">
        <w:rPr>
          <w:sz w:val="22"/>
          <w:szCs w:val="22"/>
        </w:rPr>
        <w:t>5.8 Infrastruktura szkolnictwa wyższego</w:t>
      </w:r>
      <w:r>
        <w:rPr>
          <w:sz w:val="22"/>
          <w:szCs w:val="22"/>
        </w:rPr>
        <w:t>.</w:t>
      </w:r>
    </w:p>
    <w:p w14:paraId="35E59B32" w14:textId="77777777" w:rsidR="00286750" w:rsidRPr="00CF074F" w:rsidRDefault="00286750" w:rsidP="00286750">
      <w:pPr>
        <w:jc w:val="both"/>
        <w:rPr>
          <w:sz w:val="22"/>
          <w:szCs w:val="22"/>
        </w:rPr>
      </w:pPr>
      <w:r w:rsidRPr="00CF074F">
        <w:rPr>
          <w:sz w:val="22"/>
          <w:szCs w:val="22"/>
        </w:rPr>
        <w:t>Kryteria merytoryczne szczegółowe:</w:t>
      </w:r>
    </w:p>
    <w:p w14:paraId="2B1A73FC" w14:textId="77777777" w:rsidR="00286750" w:rsidRPr="00286750" w:rsidRDefault="00286750" w:rsidP="00F011CA">
      <w:pPr>
        <w:pStyle w:val="Akapitzlist"/>
        <w:numPr>
          <w:ilvl w:val="0"/>
          <w:numId w:val="16"/>
        </w:numPr>
        <w:jc w:val="both"/>
        <w:rPr>
          <w:sz w:val="22"/>
          <w:szCs w:val="22"/>
        </w:rPr>
      </w:pPr>
      <w:r w:rsidRPr="00286750">
        <w:rPr>
          <w:sz w:val="22"/>
          <w:szCs w:val="22"/>
        </w:rPr>
        <w:t xml:space="preserve">Dokonano zmian stylistycznych w informacji nt. minimalnego progu procentowego do spełnienia kryteriów metrycznych szczegółowych z: </w:t>
      </w:r>
    </w:p>
    <w:p w14:paraId="280B4315" w14:textId="77777777" w:rsidR="00286750" w:rsidRPr="00286750" w:rsidRDefault="00286750" w:rsidP="00286750">
      <w:pPr>
        <w:pStyle w:val="Akapitzlist"/>
        <w:jc w:val="both"/>
        <w:rPr>
          <w:rFonts w:cs="Calibri"/>
          <w:sz w:val="22"/>
          <w:szCs w:val="22"/>
        </w:rPr>
      </w:pPr>
      <w:r w:rsidRPr="00286750">
        <w:rPr>
          <w:rFonts w:cs="Calibri"/>
          <w:i/>
          <w:iCs/>
          <w:sz w:val="22"/>
          <w:szCs w:val="22"/>
        </w:rPr>
        <w:t xml:space="preserve">Przyjmuje się, że projekt spełnia kryteria merytoryczne punktowe w sytuacji, gdy suma punktów uzyskanych podczas oceny kryteriów merytorycznych stanowi, co najmniej </w:t>
      </w:r>
      <w:r w:rsidRPr="00286750">
        <w:rPr>
          <w:rFonts w:cs="Calibri"/>
          <w:b/>
          <w:bCs/>
          <w:i/>
          <w:iCs/>
          <w:sz w:val="22"/>
          <w:szCs w:val="22"/>
        </w:rPr>
        <w:t>50%</w:t>
      </w:r>
      <w:r w:rsidRPr="00286750">
        <w:rPr>
          <w:rFonts w:cs="Calibri"/>
          <w:i/>
          <w:iCs/>
          <w:sz w:val="22"/>
          <w:szCs w:val="22"/>
        </w:rPr>
        <w:t xml:space="preserve"> maksymalnej możliwej do uzyskania liczby punktów</w:t>
      </w:r>
      <w:r w:rsidRPr="00286750">
        <w:rPr>
          <w:rFonts w:cs="Calibri"/>
          <w:sz w:val="22"/>
          <w:szCs w:val="22"/>
        </w:rPr>
        <w:t xml:space="preserve"> </w:t>
      </w:r>
    </w:p>
    <w:p w14:paraId="702980FA" w14:textId="4AE1273E" w:rsidR="00286750" w:rsidRPr="00286750" w:rsidRDefault="00286750" w:rsidP="00286750">
      <w:pPr>
        <w:pStyle w:val="Akapitzlist"/>
        <w:jc w:val="both"/>
        <w:rPr>
          <w:rFonts w:cs="Calibri"/>
          <w:sz w:val="22"/>
          <w:szCs w:val="22"/>
        </w:rPr>
      </w:pPr>
      <w:r w:rsidRPr="00286750">
        <w:rPr>
          <w:rFonts w:cs="Calibri"/>
          <w:sz w:val="22"/>
          <w:szCs w:val="22"/>
        </w:rPr>
        <w:t>na</w:t>
      </w:r>
    </w:p>
    <w:p w14:paraId="447F8F7A" w14:textId="785C4DD9" w:rsidR="00286750" w:rsidRPr="00286750" w:rsidRDefault="00286750" w:rsidP="00286750">
      <w:pPr>
        <w:pStyle w:val="Akapitzlist"/>
        <w:jc w:val="both"/>
        <w:rPr>
          <w:sz w:val="22"/>
          <w:szCs w:val="22"/>
        </w:rPr>
      </w:pPr>
      <w:r w:rsidRPr="00286750">
        <w:rPr>
          <w:sz w:val="22"/>
          <w:szCs w:val="22"/>
        </w:rPr>
        <w:t xml:space="preserve"> </w:t>
      </w:r>
      <w:r w:rsidRPr="00286750">
        <w:rPr>
          <w:i/>
          <w:iCs/>
          <w:sz w:val="22"/>
          <w:szCs w:val="22"/>
        </w:rPr>
        <w:t>Przyjmuje się, że projekt spełnia kryteria merytoryczne szczegółowe w sytuacji, gdy suma uzyskanych podczas oceny punktów stanowi co najmniej 50% maksymalnej możliwej do uzyskania liczby punktów</w:t>
      </w:r>
      <w:r w:rsidRPr="00286750">
        <w:rPr>
          <w:sz w:val="22"/>
          <w:szCs w:val="22"/>
        </w:rPr>
        <w:t>.</w:t>
      </w:r>
    </w:p>
    <w:p w14:paraId="0B4C316C" w14:textId="218804D9" w:rsidR="008A1EF3" w:rsidRDefault="00F60A76" w:rsidP="00F011CA">
      <w:pPr>
        <w:pStyle w:val="Akapitzlist"/>
        <w:numPr>
          <w:ilvl w:val="0"/>
          <w:numId w:val="16"/>
        </w:numPr>
        <w:jc w:val="both"/>
        <w:rPr>
          <w:sz w:val="22"/>
          <w:szCs w:val="22"/>
        </w:rPr>
      </w:pPr>
      <w:r w:rsidRPr="00F60A76">
        <w:rPr>
          <w:sz w:val="22"/>
          <w:szCs w:val="22"/>
        </w:rPr>
        <w:t xml:space="preserve">Kryterium </w:t>
      </w:r>
      <w:r w:rsidR="00345D9B" w:rsidRPr="00345D9B">
        <w:rPr>
          <w:i/>
          <w:iCs/>
          <w:sz w:val="22"/>
          <w:szCs w:val="22"/>
        </w:rPr>
        <w:t>Kształcenie w zawodach medycznych o priorytetowym znaczeniu dla regionu</w:t>
      </w:r>
      <w:r w:rsidR="00345D9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– doprecyzowanie zapisów oraz wydzielanie kierunku fizjoterapia do oddzielnego </w:t>
      </w:r>
      <w:proofErr w:type="spellStart"/>
      <w:r>
        <w:rPr>
          <w:sz w:val="22"/>
          <w:szCs w:val="22"/>
        </w:rPr>
        <w:t>tiretu</w:t>
      </w:r>
      <w:proofErr w:type="spellEnd"/>
      <w:r>
        <w:rPr>
          <w:sz w:val="22"/>
          <w:szCs w:val="22"/>
        </w:rPr>
        <w:t xml:space="preserve"> z</w:t>
      </w:r>
      <w:r w:rsidR="00345D9B">
        <w:rPr>
          <w:sz w:val="22"/>
          <w:szCs w:val="22"/>
        </w:rPr>
        <w:t> </w:t>
      </w:r>
      <w:r>
        <w:rPr>
          <w:sz w:val="22"/>
          <w:szCs w:val="22"/>
        </w:rPr>
        <w:t>możliwością uzyskania 7 pkt.</w:t>
      </w:r>
    </w:p>
    <w:p w14:paraId="28AD7798" w14:textId="0EE68341" w:rsidR="00F60A76" w:rsidRPr="00345D9B" w:rsidRDefault="00345D9B" w:rsidP="00F011CA">
      <w:pPr>
        <w:pStyle w:val="Akapitzlist"/>
        <w:numPr>
          <w:ilvl w:val="0"/>
          <w:numId w:val="16"/>
        </w:numPr>
        <w:jc w:val="both"/>
        <w:rPr>
          <w:sz w:val="22"/>
          <w:szCs w:val="22"/>
        </w:rPr>
      </w:pPr>
      <w:r w:rsidRPr="00345D9B">
        <w:rPr>
          <w:sz w:val="22"/>
          <w:szCs w:val="22"/>
        </w:rPr>
        <w:t xml:space="preserve">Kryterium </w:t>
      </w:r>
      <w:r w:rsidRPr="00345D9B">
        <w:rPr>
          <w:i/>
          <w:iCs/>
          <w:sz w:val="22"/>
          <w:szCs w:val="22"/>
        </w:rPr>
        <w:t>Efektywność kosztowa inwestycji</w:t>
      </w:r>
      <w:r w:rsidRPr="00345D9B">
        <w:rPr>
          <w:sz w:val="22"/>
          <w:szCs w:val="22"/>
        </w:rPr>
        <w:t xml:space="preserve"> – dokonano rezygnacji z kryterium jako mogącego powodować bardzo duże problemy na etapie realizacji projektu (np. zmiana wartości projektu).</w:t>
      </w:r>
    </w:p>
    <w:p w14:paraId="4B9F47D7" w14:textId="77777777" w:rsidR="00DB14A4" w:rsidRPr="00DB14A4" w:rsidRDefault="00345D9B" w:rsidP="00F011CA">
      <w:pPr>
        <w:pStyle w:val="Akapitzlist"/>
        <w:numPr>
          <w:ilvl w:val="0"/>
          <w:numId w:val="16"/>
        </w:numPr>
        <w:jc w:val="both"/>
        <w:rPr>
          <w:sz w:val="22"/>
          <w:szCs w:val="22"/>
        </w:rPr>
      </w:pPr>
      <w:r w:rsidRPr="00345D9B">
        <w:rPr>
          <w:sz w:val="22"/>
          <w:szCs w:val="22"/>
        </w:rPr>
        <w:t xml:space="preserve">Kryterium </w:t>
      </w:r>
      <w:r w:rsidRPr="00DB14A4">
        <w:rPr>
          <w:rFonts w:cstheme="minorHAnsi"/>
          <w:bCs/>
          <w:i/>
          <w:iCs/>
          <w:sz w:val="22"/>
          <w:szCs w:val="22"/>
        </w:rPr>
        <w:t>Wykorzystanie istniejącej infrastruktury</w:t>
      </w:r>
      <w:r w:rsidR="00DB14A4">
        <w:rPr>
          <w:rFonts w:cstheme="minorHAnsi"/>
          <w:bCs/>
          <w:sz w:val="22"/>
          <w:szCs w:val="22"/>
        </w:rPr>
        <w:t>:</w:t>
      </w:r>
    </w:p>
    <w:p w14:paraId="68DCA434" w14:textId="77777777" w:rsidR="00DB14A4" w:rsidRPr="00DB14A4" w:rsidRDefault="00DB14A4" w:rsidP="00F011CA">
      <w:pPr>
        <w:pStyle w:val="Akapitzlist"/>
        <w:numPr>
          <w:ilvl w:val="1"/>
          <w:numId w:val="16"/>
        </w:numPr>
        <w:jc w:val="both"/>
        <w:rPr>
          <w:bCs/>
          <w:sz w:val="22"/>
          <w:szCs w:val="22"/>
        </w:rPr>
      </w:pPr>
      <w:r w:rsidRPr="00DB14A4">
        <w:rPr>
          <w:rFonts w:cstheme="minorHAnsi"/>
          <w:bCs/>
          <w:sz w:val="22"/>
          <w:szCs w:val="22"/>
        </w:rPr>
        <w:t>kryterium umieszczono pod pozycja nr 2,</w:t>
      </w:r>
    </w:p>
    <w:p w14:paraId="1E308BF8" w14:textId="6D411FEF" w:rsidR="00DB14A4" w:rsidRPr="00DB14A4" w:rsidRDefault="00DB14A4" w:rsidP="00F011CA">
      <w:pPr>
        <w:pStyle w:val="Akapitzlist"/>
        <w:numPr>
          <w:ilvl w:val="1"/>
          <w:numId w:val="16"/>
        </w:numPr>
        <w:jc w:val="both"/>
        <w:rPr>
          <w:bCs/>
          <w:sz w:val="22"/>
          <w:szCs w:val="22"/>
        </w:rPr>
      </w:pPr>
      <w:r w:rsidRPr="00DB14A4">
        <w:rPr>
          <w:rFonts w:cstheme="minorHAnsi"/>
          <w:bCs/>
          <w:sz w:val="22"/>
          <w:szCs w:val="22"/>
        </w:rPr>
        <w:t>zwiększono możliwą do uzyskania liczbę punktów (z 4 do 8)</w:t>
      </w:r>
      <w:r>
        <w:rPr>
          <w:rFonts w:cstheme="minorHAnsi"/>
          <w:bCs/>
          <w:sz w:val="22"/>
          <w:szCs w:val="22"/>
        </w:rPr>
        <w:t>,</w:t>
      </w:r>
    </w:p>
    <w:p w14:paraId="6649852C" w14:textId="729C3243" w:rsidR="00345D9B" w:rsidRPr="00DB14A4" w:rsidRDefault="00DB14A4" w:rsidP="00F011CA">
      <w:pPr>
        <w:pStyle w:val="Akapitzlist"/>
        <w:numPr>
          <w:ilvl w:val="1"/>
          <w:numId w:val="16"/>
        </w:numPr>
        <w:jc w:val="both"/>
        <w:rPr>
          <w:bCs/>
          <w:sz w:val="22"/>
          <w:szCs w:val="22"/>
        </w:rPr>
      </w:pPr>
      <w:r w:rsidRPr="00DB14A4">
        <w:rPr>
          <w:rFonts w:cstheme="minorHAnsi"/>
          <w:bCs/>
          <w:sz w:val="22"/>
          <w:szCs w:val="22"/>
        </w:rPr>
        <w:t xml:space="preserve">kryterium wskazano jako kryterium rozstrzygające nr 2. </w:t>
      </w:r>
    </w:p>
    <w:p w14:paraId="36E2AD27" w14:textId="0B3C35B2" w:rsidR="00DB14A4" w:rsidRDefault="00DB14A4" w:rsidP="00F011CA">
      <w:pPr>
        <w:pStyle w:val="Akapitzlist"/>
        <w:numPr>
          <w:ilvl w:val="0"/>
          <w:numId w:val="16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Kryterium </w:t>
      </w:r>
      <w:r w:rsidRPr="00DB14A4">
        <w:rPr>
          <w:bCs/>
          <w:i/>
          <w:iCs/>
          <w:sz w:val="22"/>
          <w:szCs w:val="22"/>
        </w:rPr>
        <w:t>Stopień umiędzynarodowienia procesu kształcenia</w:t>
      </w:r>
      <w:r>
        <w:rPr>
          <w:bCs/>
          <w:sz w:val="22"/>
          <w:szCs w:val="22"/>
        </w:rPr>
        <w:t xml:space="preserve"> – dokonano przeformułowania zapisów kryterium oraz zmniejszono możliwą do uzyskania</w:t>
      </w:r>
      <w:r w:rsidR="00250E7E" w:rsidRPr="00250E7E">
        <w:t xml:space="preserve"> </w:t>
      </w:r>
      <w:r w:rsidR="00250E7E" w:rsidRPr="00250E7E">
        <w:rPr>
          <w:bCs/>
          <w:sz w:val="22"/>
          <w:szCs w:val="22"/>
        </w:rPr>
        <w:t>za spełnieni</w:t>
      </w:r>
      <w:r w:rsidR="00250E7E">
        <w:rPr>
          <w:bCs/>
          <w:sz w:val="22"/>
          <w:szCs w:val="22"/>
        </w:rPr>
        <w:t>e</w:t>
      </w:r>
      <w:r w:rsidR="00250E7E" w:rsidRPr="00250E7E">
        <w:rPr>
          <w:bCs/>
          <w:sz w:val="22"/>
          <w:szCs w:val="22"/>
        </w:rPr>
        <w:t xml:space="preserve"> kryterium</w:t>
      </w:r>
      <w:r>
        <w:rPr>
          <w:bCs/>
          <w:sz w:val="22"/>
          <w:szCs w:val="22"/>
        </w:rPr>
        <w:t xml:space="preserve"> liczbę punktów. </w:t>
      </w:r>
    </w:p>
    <w:p w14:paraId="762B411E" w14:textId="23AA6D20" w:rsidR="00DB14A4" w:rsidRPr="00A1566C" w:rsidRDefault="000D6396" w:rsidP="00F011CA">
      <w:pPr>
        <w:pStyle w:val="Akapitzlist"/>
        <w:numPr>
          <w:ilvl w:val="0"/>
          <w:numId w:val="16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 xml:space="preserve">Kryterium </w:t>
      </w:r>
      <w:r w:rsidR="00DB14A4" w:rsidRPr="000D6396">
        <w:rPr>
          <w:bCs/>
          <w:i/>
          <w:iCs/>
          <w:sz w:val="22"/>
          <w:szCs w:val="22"/>
        </w:rPr>
        <w:t>Wpływ projektu na zwiększenie dostępności obiektów edukacyjnych do potrzeb osób ze SPE</w:t>
      </w:r>
      <w:r w:rsidR="00DB14A4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–</w:t>
      </w:r>
      <w:r w:rsidR="00DB14A4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uzupełniono opis znaczenia kryterium poprzez dodanie przesłanki, zgodnie z którą  przedłożenie dowodu w postaci audytu dostępności potwierdzającego spełnienie </w:t>
      </w:r>
      <w:r w:rsidRPr="00A1566C">
        <w:rPr>
          <w:bCs/>
          <w:sz w:val="22"/>
          <w:szCs w:val="22"/>
        </w:rPr>
        <w:t xml:space="preserve">wariantu minimum lub </w:t>
      </w:r>
      <w:r w:rsidR="007A663B">
        <w:rPr>
          <w:bCs/>
          <w:sz w:val="22"/>
          <w:szCs w:val="22"/>
        </w:rPr>
        <w:t xml:space="preserve">spełnienie wariantu </w:t>
      </w:r>
      <w:r w:rsidRPr="00A1566C">
        <w:rPr>
          <w:bCs/>
          <w:sz w:val="22"/>
          <w:szCs w:val="22"/>
        </w:rPr>
        <w:t>wykraczającego poza</w:t>
      </w:r>
      <w:r w:rsidR="007A663B">
        <w:rPr>
          <w:bCs/>
          <w:sz w:val="22"/>
          <w:szCs w:val="22"/>
        </w:rPr>
        <w:t xml:space="preserve"> </w:t>
      </w:r>
      <w:r w:rsidRPr="00A1566C">
        <w:rPr>
          <w:bCs/>
          <w:sz w:val="22"/>
          <w:szCs w:val="22"/>
        </w:rPr>
        <w:t>minimum, skutkuje przyznaniem określonej</w:t>
      </w:r>
      <w:r w:rsidR="007A663B">
        <w:rPr>
          <w:bCs/>
          <w:sz w:val="22"/>
          <w:szCs w:val="22"/>
        </w:rPr>
        <w:t xml:space="preserve"> (zgodnej z opisem znaczenia dla wyników oceny) </w:t>
      </w:r>
      <w:r w:rsidRPr="00A1566C">
        <w:rPr>
          <w:bCs/>
          <w:sz w:val="22"/>
          <w:szCs w:val="22"/>
        </w:rPr>
        <w:t xml:space="preserve">liczny punktów. </w:t>
      </w:r>
      <w:r w:rsidR="00A1566C" w:rsidRPr="00A1566C">
        <w:rPr>
          <w:bCs/>
          <w:sz w:val="22"/>
          <w:szCs w:val="22"/>
        </w:rPr>
        <w:t xml:space="preserve"> W definicji kryterium usunięto publikator, zgodnie z podejściem stosowanym we wszystkich kryteriach.</w:t>
      </w:r>
    </w:p>
    <w:p w14:paraId="64E61ACD" w14:textId="35D0F0AA" w:rsidR="00A1566C" w:rsidRPr="00497E48" w:rsidRDefault="00A1566C" w:rsidP="00F011CA">
      <w:pPr>
        <w:pStyle w:val="Akapitzlist"/>
        <w:numPr>
          <w:ilvl w:val="0"/>
          <w:numId w:val="16"/>
        </w:numPr>
        <w:jc w:val="both"/>
        <w:rPr>
          <w:bCs/>
          <w:sz w:val="22"/>
          <w:szCs w:val="22"/>
        </w:rPr>
      </w:pPr>
      <w:r w:rsidRPr="00A1566C">
        <w:rPr>
          <w:bCs/>
          <w:sz w:val="22"/>
          <w:szCs w:val="22"/>
        </w:rPr>
        <w:t xml:space="preserve">Kryterium </w:t>
      </w:r>
      <w:r w:rsidRPr="008E4854">
        <w:rPr>
          <w:rFonts w:cstheme="minorHAnsi"/>
          <w:bCs/>
          <w:i/>
          <w:iCs/>
          <w:sz w:val="22"/>
          <w:szCs w:val="22"/>
        </w:rPr>
        <w:t>Liczba kół naukowych z dziedziny objętej wsparciem, funkcjonujących u wnioskodawcy i wykorzystujących wspartą infrastruktur</w:t>
      </w:r>
      <w:r w:rsidR="008E4854" w:rsidRPr="008E4854">
        <w:rPr>
          <w:rFonts w:cstheme="minorHAnsi"/>
          <w:bCs/>
          <w:i/>
          <w:iCs/>
          <w:sz w:val="22"/>
          <w:szCs w:val="22"/>
        </w:rPr>
        <w:t>ę</w:t>
      </w:r>
      <w:r w:rsidR="008E4854">
        <w:rPr>
          <w:rFonts w:cstheme="minorHAnsi"/>
          <w:bCs/>
          <w:sz w:val="22"/>
          <w:szCs w:val="22"/>
        </w:rPr>
        <w:t xml:space="preserve"> – dokonano zmiany tytułu, definicji i opisu znaczenia dla wyników oceny z zakresie zmiany </w:t>
      </w:r>
      <w:r w:rsidR="007A663B">
        <w:rPr>
          <w:rFonts w:cstheme="minorHAnsi"/>
          <w:bCs/>
          <w:sz w:val="22"/>
          <w:szCs w:val="22"/>
        </w:rPr>
        <w:t>frazy</w:t>
      </w:r>
      <w:r w:rsidR="008E4854">
        <w:rPr>
          <w:rFonts w:cstheme="minorHAnsi"/>
          <w:bCs/>
          <w:sz w:val="22"/>
          <w:szCs w:val="22"/>
        </w:rPr>
        <w:t xml:space="preserve"> </w:t>
      </w:r>
      <w:r w:rsidR="008E4854" w:rsidRPr="00497E48">
        <w:rPr>
          <w:rFonts w:cstheme="minorHAnsi"/>
          <w:bCs/>
          <w:sz w:val="22"/>
          <w:szCs w:val="22"/>
        </w:rPr>
        <w:t>„produkty/rezultaty” na „wspartą infrastrukturę”.</w:t>
      </w:r>
    </w:p>
    <w:p w14:paraId="5E68E56E" w14:textId="3789605E" w:rsidR="008E4854" w:rsidRPr="00497E48" w:rsidRDefault="008E4854" w:rsidP="00F011CA">
      <w:pPr>
        <w:pStyle w:val="Akapitzlist"/>
        <w:numPr>
          <w:ilvl w:val="0"/>
          <w:numId w:val="16"/>
        </w:numPr>
        <w:jc w:val="both"/>
        <w:rPr>
          <w:bCs/>
          <w:sz w:val="22"/>
          <w:szCs w:val="22"/>
        </w:rPr>
      </w:pPr>
      <w:r w:rsidRPr="00497E48">
        <w:rPr>
          <w:bCs/>
          <w:sz w:val="22"/>
          <w:szCs w:val="22"/>
        </w:rPr>
        <w:t xml:space="preserve">Kryterium </w:t>
      </w:r>
      <w:r w:rsidRPr="00497E48">
        <w:rPr>
          <w:bCs/>
          <w:i/>
          <w:iCs/>
          <w:sz w:val="22"/>
          <w:szCs w:val="22"/>
        </w:rPr>
        <w:t>Komplementarność projektu</w:t>
      </w:r>
      <w:r w:rsidRPr="00497E48">
        <w:rPr>
          <w:bCs/>
          <w:sz w:val="22"/>
          <w:szCs w:val="22"/>
        </w:rPr>
        <w:t xml:space="preserve"> – dokonano doprecyzowania zapisów</w:t>
      </w:r>
      <w:r w:rsidR="001C3A08" w:rsidRPr="00497E48">
        <w:rPr>
          <w:bCs/>
          <w:sz w:val="22"/>
          <w:szCs w:val="22"/>
        </w:rPr>
        <w:t xml:space="preserve"> </w:t>
      </w:r>
      <w:r w:rsidR="007A663B">
        <w:rPr>
          <w:bCs/>
          <w:sz w:val="22"/>
          <w:szCs w:val="22"/>
        </w:rPr>
        <w:t xml:space="preserve">– z </w:t>
      </w:r>
      <w:r w:rsidR="001C3A08" w:rsidRPr="00497E48">
        <w:rPr>
          <w:bCs/>
          <w:sz w:val="22"/>
          <w:szCs w:val="22"/>
        </w:rPr>
        <w:t xml:space="preserve">uwagi na specyfikę potencjalnych wnioskodawców ograniczono rozpatrywanie komplementarności do projektów </w:t>
      </w:r>
      <w:r w:rsidR="007A663B">
        <w:rPr>
          <w:bCs/>
          <w:sz w:val="22"/>
          <w:szCs w:val="22"/>
        </w:rPr>
        <w:t>konkretnego</w:t>
      </w:r>
      <w:r w:rsidR="001C3A08" w:rsidRPr="00497E48">
        <w:rPr>
          <w:bCs/>
          <w:sz w:val="22"/>
          <w:szCs w:val="22"/>
        </w:rPr>
        <w:t xml:space="preserve"> podmiotu </w:t>
      </w:r>
      <w:r w:rsidR="007A663B">
        <w:rPr>
          <w:bCs/>
          <w:sz w:val="22"/>
          <w:szCs w:val="22"/>
        </w:rPr>
        <w:t>składającego wniosek.</w:t>
      </w:r>
    </w:p>
    <w:p w14:paraId="56EF7256" w14:textId="2FB92959" w:rsidR="001C3A08" w:rsidRPr="00497E48" w:rsidRDefault="008E4854" w:rsidP="00F011CA">
      <w:pPr>
        <w:pStyle w:val="Akapitzlist"/>
        <w:numPr>
          <w:ilvl w:val="0"/>
          <w:numId w:val="16"/>
        </w:numPr>
        <w:jc w:val="both"/>
        <w:rPr>
          <w:bCs/>
          <w:sz w:val="22"/>
          <w:szCs w:val="22"/>
        </w:rPr>
      </w:pPr>
      <w:r w:rsidRPr="00497E48">
        <w:rPr>
          <w:bCs/>
          <w:sz w:val="22"/>
          <w:szCs w:val="22"/>
        </w:rPr>
        <w:t xml:space="preserve">Kryterium </w:t>
      </w:r>
      <w:r w:rsidRPr="00497E48">
        <w:rPr>
          <w:bCs/>
          <w:i/>
          <w:iCs/>
          <w:sz w:val="22"/>
          <w:szCs w:val="22"/>
        </w:rPr>
        <w:t>Gotowość do realizacji projektu</w:t>
      </w:r>
      <w:r w:rsidR="001C3A08" w:rsidRPr="00497E48">
        <w:rPr>
          <w:bCs/>
          <w:i/>
          <w:iCs/>
          <w:sz w:val="22"/>
          <w:szCs w:val="22"/>
        </w:rPr>
        <w:t>:</w:t>
      </w:r>
    </w:p>
    <w:p w14:paraId="190C8E48" w14:textId="62DAD882" w:rsidR="001C3A08" w:rsidRPr="00497E48" w:rsidRDefault="001C3A08" w:rsidP="00F011CA">
      <w:pPr>
        <w:pStyle w:val="Akapitzlist"/>
        <w:numPr>
          <w:ilvl w:val="1"/>
          <w:numId w:val="16"/>
        </w:numPr>
        <w:jc w:val="both"/>
        <w:rPr>
          <w:bCs/>
          <w:sz w:val="22"/>
          <w:szCs w:val="22"/>
        </w:rPr>
      </w:pPr>
      <w:r w:rsidRPr="00497E48">
        <w:rPr>
          <w:bCs/>
          <w:sz w:val="22"/>
          <w:szCs w:val="22"/>
        </w:rPr>
        <w:t>zmniejszono możliwą do uzyskania liczbę punktów z 6 na 4</w:t>
      </w:r>
      <w:r w:rsidR="00591073">
        <w:rPr>
          <w:bCs/>
          <w:sz w:val="22"/>
          <w:szCs w:val="22"/>
        </w:rPr>
        <w:t>,</w:t>
      </w:r>
    </w:p>
    <w:p w14:paraId="44C4DE9A" w14:textId="09D24495" w:rsidR="00497E48" w:rsidRPr="00497E48" w:rsidRDefault="001C3A08" w:rsidP="00F011CA">
      <w:pPr>
        <w:pStyle w:val="Akapitzlist"/>
        <w:numPr>
          <w:ilvl w:val="1"/>
          <w:numId w:val="16"/>
        </w:numPr>
        <w:jc w:val="both"/>
        <w:rPr>
          <w:bCs/>
          <w:sz w:val="22"/>
          <w:szCs w:val="22"/>
        </w:rPr>
      </w:pPr>
      <w:r w:rsidRPr="00497E48">
        <w:rPr>
          <w:bCs/>
          <w:sz w:val="22"/>
          <w:szCs w:val="22"/>
        </w:rPr>
        <w:t>wykluczono z możliwości uzyskania punktów przedłożenie programu funkcjonalno-użytkowego dla inwestycji</w:t>
      </w:r>
      <w:r w:rsidR="00497E48">
        <w:rPr>
          <w:bCs/>
          <w:sz w:val="22"/>
          <w:szCs w:val="22"/>
        </w:rPr>
        <w:t>.</w:t>
      </w:r>
    </w:p>
    <w:p w14:paraId="741B15FA" w14:textId="6E4050CE" w:rsidR="001C3A08" w:rsidRPr="00497E48" w:rsidRDefault="00497E48" w:rsidP="00F011CA">
      <w:pPr>
        <w:pStyle w:val="Akapitzlist"/>
        <w:numPr>
          <w:ilvl w:val="0"/>
          <w:numId w:val="16"/>
        </w:numPr>
        <w:jc w:val="both"/>
        <w:rPr>
          <w:rFonts w:cs="Calibri"/>
          <w:bCs/>
          <w:sz w:val="22"/>
          <w:szCs w:val="22"/>
        </w:rPr>
      </w:pPr>
      <w:r w:rsidRPr="00497E48">
        <w:rPr>
          <w:rFonts w:cs="Calibri"/>
          <w:bCs/>
          <w:sz w:val="22"/>
          <w:szCs w:val="22"/>
        </w:rPr>
        <w:t xml:space="preserve">Kryterium </w:t>
      </w:r>
      <w:r w:rsidRPr="00497E48">
        <w:rPr>
          <w:rFonts w:cs="Calibri"/>
          <w:bCs/>
          <w:i/>
          <w:iCs/>
          <w:sz w:val="22"/>
          <w:szCs w:val="22"/>
        </w:rPr>
        <w:t xml:space="preserve">Zastosowanie rozwiązań z zakresu obiegu cyrkularnego </w:t>
      </w:r>
      <w:r w:rsidRPr="00497E48">
        <w:rPr>
          <w:rFonts w:cs="Calibri"/>
          <w:bCs/>
          <w:sz w:val="22"/>
          <w:szCs w:val="22"/>
        </w:rPr>
        <w:t xml:space="preserve">– dokonano zmiany nazwy </w:t>
      </w:r>
      <w:r>
        <w:rPr>
          <w:rFonts w:cs="Calibri"/>
          <w:bCs/>
          <w:sz w:val="22"/>
          <w:szCs w:val="22"/>
        </w:rPr>
        <w:t xml:space="preserve">kryterium jak również jego definicji i opisu znaczenia </w:t>
      </w:r>
      <w:r w:rsidR="00A67646" w:rsidRPr="00A67646">
        <w:rPr>
          <w:rFonts w:cs="Calibri"/>
          <w:bCs/>
          <w:sz w:val="22"/>
          <w:szCs w:val="22"/>
        </w:rPr>
        <w:t xml:space="preserve">dla wyników oceny </w:t>
      </w:r>
      <w:r>
        <w:rPr>
          <w:rFonts w:cs="Calibri"/>
          <w:bCs/>
          <w:sz w:val="22"/>
          <w:szCs w:val="22"/>
        </w:rPr>
        <w:t xml:space="preserve">poprzez usunięcie możliwości uzyskania punktów za </w:t>
      </w:r>
      <w:r w:rsidR="00A67646">
        <w:rPr>
          <w:rFonts w:cs="Calibri"/>
          <w:bCs/>
          <w:sz w:val="22"/>
          <w:szCs w:val="22"/>
        </w:rPr>
        <w:t xml:space="preserve">zastosowanie </w:t>
      </w:r>
      <w:r>
        <w:rPr>
          <w:rFonts w:cs="Calibri"/>
          <w:bCs/>
          <w:sz w:val="22"/>
          <w:szCs w:val="22"/>
        </w:rPr>
        <w:t xml:space="preserve">rozwiązań na rzecz adaptacji do zmian klimatu (w ocenie </w:t>
      </w:r>
      <w:r w:rsidR="00A67646">
        <w:rPr>
          <w:rFonts w:cs="Calibri"/>
          <w:bCs/>
          <w:sz w:val="22"/>
          <w:szCs w:val="22"/>
        </w:rPr>
        <w:t>uczestników grupy roboczej</w:t>
      </w:r>
      <w:r>
        <w:rPr>
          <w:rFonts w:cs="Calibri"/>
          <w:bCs/>
          <w:sz w:val="22"/>
          <w:szCs w:val="22"/>
        </w:rPr>
        <w:t xml:space="preserve"> mogłoby to stanowić przesłankę do nadmiernego rozszerzania zakresu projektów o elementy nie mające bezpośredniego wpływu na realizację celów Działani</w:t>
      </w:r>
      <w:r w:rsidR="00A67646">
        <w:rPr>
          <w:rFonts w:cs="Calibri"/>
          <w:bCs/>
          <w:sz w:val="22"/>
          <w:szCs w:val="22"/>
        </w:rPr>
        <w:t>a</w:t>
      </w:r>
      <w:r>
        <w:rPr>
          <w:rFonts w:cs="Calibri"/>
          <w:bCs/>
          <w:sz w:val="22"/>
          <w:szCs w:val="22"/>
        </w:rPr>
        <w:t xml:space="preserve"> 5.8 FEM </w:t>
      </w:r>
      <w:r w:rsidRPr="00497E48">
        <w:rPr>
          <w:rFonts w:cs="Calibri"/>
          <w:bCs/>
          <w:sz w:val="22"/>
          <w:szCs w:val="22"/>
        </w:rPr>
        <w:t>2021-2027</w:t>
      </w:r>
      <w:r>
        <w:rPr>
          <w:rFonts w:cs="Calibri"/>
          <w:bCs/>
          <w:sz w:val="22"/>
          <w:szCs w:val="22"/>
        </w:rPr>
        <w:t>.</w:t>
      </w:r>
    </w:p>
    <w:p w14:paraId="6AE332DA" w14:textId="343FED7A" w:rsidR="001C3A08" w:rsidRPr="00497E48" w:rsidRDefault="001C3A08" w:rsidP="00F011CA">
      <w:pPr>
        <w:numPr>
          <w:ilvl w:val="0"/>
          <w:numId w:val="16"/>
        </w:numPr>
        <w:jc w:val="both"/>
        <w:rPr>
          <w:sz w:val="22"/>
          <w:szCs w:val="22"/>
        </w:rPr>
      </w:pPr>
      <w:r w:rsidRPr="00497E48">
        <w:rPr>
          <w:sz w:val="22"/>
          <w:szCs w:val="22"/>
        </w:rPr>
        <w:t>Zrezygnowano z następujących kryteriów szczegółowych jako nie mających pełnego odzwierciedlenia w ramach Działania 5.8 Infrastruktura szkolnictwa wyższego</w:t>
      </w:r>
      <w:r w:rsidR="001F0ECF" w:rsidRPr="00497E48">
        <w:rPr>
          <w:sz w:val="22"/>
          <w:szCs w:val="22"/>
        </w:rPr>
        <w:t>:</w:t>
      </w:r>
    </w:p>
    <w:p w14:paraId="1E8471FC" w14:textId="1D7ACB87" w:rsidR="001F0ECF" w:rsidRPr="00DB1C49" w:rsidRDefault="001F0ECF" w:rsidP="00F011CA">
      <w:pPr>
        <w:pStyle w:val="Akapitzlist"/>
        <w:numPr>
          <w:ilvl w:val="1"/>
          <w:numId w:val="16"/>
        </w:numPr>
        <w:jc w:val="both"/>
        <w:rPr>
          <w:bCs/>
          <w:sz w:val="22"/>
          <w:szCs w:val="22"/>
        </w:rPr>
      </w:pPr>
      <w:r w:rsidRPr="00DB1C49">
        <w:rPr>
          <w:bCs/>
          <w:i/>
          <w:iCs/>
          <w:sz w:val="22"/>
          <w:szCs w:val="22"/>
        </w:rPr>
        <w:t>Wsparcie kierunków kształcenia zgodnych z regionalną inteligentną specjalizacją</w:t>
      </w:r>
      <w:r w:rsidR="00591073" w:rsidRPr="00DB1C49">
        <w:rPr>
          <w:bCs/>
          <w:sz w:val="22"/>
          <w:szCs w:val="22"/>
        </w:rPr>
        <w:t>;</w:t>
      </w:r>
    </w:p>
    <w:p w14:paraId="0D12CE4C" w14:textId="6C2F1B1D" w:rsidR="001F0ECF" w:rsidRPr="00DB1C49" w:rsidRDefault="001F0ECF" w:rsidP="00F011CA">
      <w:pPr>
        <w:pStyle w:val="Akapitzlist"/>
        <w:numPr>
          <w:ilvl w:val="1"/>
          <w:numId w:val="16"/>
        </w:numPr>
        <w:jc w:val="both"/>
        <w:rPr>
          <w:bCs/>
          <w:sz w:val="22"/>
          <w:szCs w:val="22"/>
        </w:rPr>
      </w:pPr>
      <w:r w:rsidRPr="00DB1C49">
        <w:rPr>
          <w:bCs/>
          <w:i/>
          <w:iCs/>
          <w:sz w:val="22"/>
          <w:szCs w:val="22"/>
        </w:rPr>
        <w:t>Promocja przedmiotów STEM</w:t>
      </w:r>
      <w:r w:rsidR="00591073" w:rsidRPr="00DB1C49">
        <w:rPr>
          <w:bCs/>
          <w:sz w:val="22"/>
          <w:szCs w:val="22"/>
        </w:rPr>
        <w:t>;</w:t>
      </w:r>
    </w:p>
    <w:p w14:paraId="4D224FBB" w14:textId="1B1A390B" w:rsidR="001F0ECF" w:rsidRPr="00DB1C49" w:rsidRDefault="001F0ECF" w:rsidP="00F011CA">
      <w:pPr>
        <w:pStyle w:val="Akapitzlist"/>
        <w:numPr>
          <w:ilvl w:val="1"/>
          <w:numId w:val="16"/>
        </w:numPr>
        <w:jc w:val="both"/>
        <w:rPr>
          <w:bCs/>
          <w:sz w:val="22"/>
          <w:szCs w:val="22"/>
        </w:rPr>
      </w:pPr>
      <w:r w:rsidRPr="00DB1C49">
        <w:rPr>
          <w:bCs/>
          <w:i/>
          <w:iCs/>
          <w:sz w:val="22"/>
          <w:szCs w:val="22"/>
        </w:rPr>
        <w:t>Współpraca międzyregionalna, transgraniczna lub transnarodowa w realizacji projektu</w:t>
      </w:r>
      <w:r w:rsidRPr="00DB1C49">
        <w:rPr>
          <w:bCs/>
          <w:sz w:val="22"/>
          <w:szCs w:val="22"/>
        </w:rPr>
        <w:t>.</w:t>
      </w:r>
    </w:p>
    <w:p w14:paraId="6B1A8F87" w14:textId="10545038" w:rsidR="00991B2F" w:rsidRPr="00497E48" w:rsidRDefault="00991B2F" w:rsidP="00991B2F">
      <w:pPr>
        <w:jc w:val="both"/>
        <w:rPr>
          <w:sz w:val="22"/>
          <w:szCs w:val="22"/>
        </w:rPr>
      </w:pPr>
      <w:r w:rsidRPr="00497E48">
        <w:rPr>
          <w:sz w:val="22"/>
          <w:szCs w:val="22"/>
        </w:rPr>
        <w:t>Załącznik:</w:t>
      </w:r>
    </w:p>
    <w:p w14:paraId="300F30D6" w14:textId="46889CA7" w:rsidR="00AA09F5" w:rsidRPr="00497E48" w:rsidRDefault="00991B2F" w:rsidP="00AA09F5">
      <w:pPr>
        <w:numPr>
          <w:ilvl w:val="0"/>
          <w:numId w:val="12"/>
        </w:numPr>
        <w:jc w:val="both"/>
        <w:rPr>
          <w:sz w:val="22"/>
          <w:szCs w:val="22"/>
        </w:rPr>
      </w:pPr>
      <w:r w:rsidRPr="00497E48">
        <w:rPr>
          <w:sz w:val="22"/>
          <w:szCs w:val="22"/>
        </w:rPr>
        <w:t xml:space="preserve">Kryteria dostępu i merytoryczne szczegółowe </w:t>
      </w:r>
      <w:r w:rsidR="00AA09F5" w:rsidRPr="00497E48">
        <w:rPr>
          <w:sz w:val="22"/>
          <w:szCs w:val="22"/>
        </w:rPr>
        <w:t>dla Działania</w:t>
      </w:r>
      <w:r w:rsidR="00CF074F" w:rsidRPr="00497E48">
        <w:rPr>
          <w:sz w:val="22"/>
          <w:szCs w:val="22"/>
        </w:rPr>
        <w:t xml:space="preserve"> 3.1 Mobilność miejska, Typ projektów – Infrastruktura rowerowa i piesza</w:t>
      </w:r>
    </w:p>
    <w:p w14:paraId="2C8E39F2" w14:textId="7EF36604" w:rsidR="00991B2F" w:rsidRPr="00CF074F" w:rsidRDefault="00AA09F5" w:rsidP="00991B2F">
      <w:pPr>
        <w:numPr>
          <w:ilvl w:val="0"/>
          <w:numId w:val="12"/>
        </w:numPr>
        <w:jc w:val="both"/>
        <w:rPr>
          <w:sz w:val="22"/>
          <w:szCs w:val="22"/>
        </w:rPr>
      </w:pPr>
      <w:r w:rsidRPr="00497E48">
        <w:rPr>
          <w:sz w:val="22"/>
          <w:szCs w:val="22"/>
        </w:rPr>
        <w:t xml:space="preserve">Kryteria dostępu i merytoryczne szczegółowe dla </w:t>
      </w:r>
      <w:r w:rsidR="00CF074F" w:rsidRPr="00497E48">
        <w:rPr>
          <w:sz w:val="22"/>
          <w:szCs w:val="22"/>
        </w:rPr>
        <w:t>Działania 3.1 Mobilność miejska, Typ projektów – Budowa i przebudowa infrastruktury transportu</w:t>
      </w:r>
      <w:r w:rsidR="00CF074F" w:rsidRPr="00CF074F">
        <w:rPr>
          <w:sz w:val="22"/>
          <w:szCs w:val="22"/>
        </w:rPr>
        <w:t xml:space="preserve"> publicznego</w:t>
      </w:r>
      <w:r w:rsidRPr="00CF074F">
        <w:rPr>
          <w:sz w:val="22"/>
          <w:szCs w:val="22"/>
        </w:rPr>
        <w:t>.</w:t>
      </w:r>
    </w:p>
    <w:p w14:paraId="6DD6A289" w14:textId="0AFB8FC5" w:rsidR="00CF074F" w:rsidRDefault="00CF074F" w:rsidP="00CF074F">
      <w:pPr>
        <w:pStyle w:val="Akapitzlist"/>
        <w:numPr>
          <w:ilvl w:val="0"/>
          <w:numId w:val="12"/>
        </w:numPr>
        <w:rPr>
          <w:sz w:val="22"/>
          <w:szCs w:val="22"/>
        </w:rPr>
      </w:pPr>
      <w:r w:rsidRPr="00CF074F">
        <w:rPr>
          <w:sz w:val="22"/>
          <w:szCs w:val="22"/>
        </w:rPr>
        <w:t>Kryteria dostępu i merytoryczne szczegółowe dla Działania 5.8 Infrastruktura szkolnictwa wyższego, Typ projektów - Infrastruktura szkolnictwa wyższego.</w:t>
      </w:r>
    </w:p>
    <w:p w14:paraId="3745254E" w14:textId="77777777" w:rsidR="007A7FE0" w:rsidRPr="007A7FE0" w:rsidRDefault="007A7FE0" w:rsidP="007A7FE0">
      <w:pPr>
        <w:rPr>
          <w:sz w:val="22"/>
          <w:szCs w:val="22"/>
        </w:rPr>
      </w:pPr>
    </w:p>
    <w:p w14:paraId="74FFCE20" w14:textId="77777777" w:rsidR="00CF074F" w:rsidRDefault="00CF074F" w:rsidP="00CF074F">
      <w:pPr>
        <w:jc w:val="both"/>
        <w:rPr>
          <w:color w:val="FF0000"/>
          <w:sz w:val="22"/>
          <w:szCs w:val="22"/>
        </w:rPr>
      </w:pPr>
    </w:p>
    <w:p w14:paraId="0D1A8530" w14:textId="57C9746C" w:rsidR="00CF074F" w:rsidRPr="00CF074F" w:rsidRDefault="00CF074F" w:rsidP="00CF074F">
      <w:pPr>
        <w:jc w:val="both"/>
        <w:rPr>
          <w:color w:val="FF0000"/>
          <w:sz w:val="22"/>
          <w:szCs w:val="22"/>
        </w:rPr>
      </w:pPr>
    </w:p>
    <w:sectPr w:rsidR="00CF074F" w:rsidRPr="00CF074F" w:rsidSect="007D4EF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2764B"/>
    <w:multiLevelType w:val="hybridMultilevel"/>
    <w:tmpl w:val="CAB079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841DC"/>
    <w:multiLevelType w:val="hybridMultilevel"/>
    <w:tmpl w:val="01E873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73E02"/>
    <w:multiLevelType w:val="hybridMultilevel"/>
    <w:tmpl w:val="991C758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i w:val="0"/>
        <w:i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3E115A"/>
    <w:multiLevelType w:val="hybridMultilevel"/>
    <w:tmpl w:val="E0B4F3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30FC8"/>
    <w:multiLevelType w:val="hybridMultilevel"/>
    <w:tmpl w:val="70E680A2"/>
    <w:lvl w:ilvl="0" w:tplc="57C8196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AF006B"/>
    <w:multiLevelType w:val="hybridMultilevel"/>
    <w:tmpl w:val="70E680A2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5B1007"/>
    <w:multiLevelType w:val="hybridMultilevel"/>
    <w:tmpl w:val="EEAAB1F2"/>
    <w:lvl w:ilvl="0" w:tplc="44D61594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B30F90"/>
    <w:multiLevelType w:val="hybridMultilevel"/>
    <w:tmpl w:val="73EA3F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C624B29"/>
    <w:multiLevelType w:val="hybridMultilevel"/>
    <w:tmpl w:val="94CE0F86"/>
    <w:lvl w:ilvl="0" w:tplc="CA5475AC">
      <w:start w:val="1"/>
      <w:numFmt w:val="decimal"/>
      <w:lvlText w:val="%1."/>
      <w:lvlJc w:val="left"/>
      <w:pPr>
        <w:ind w:left="720" w:hanging="360"/>
      </w:pPr>
      <w:rPr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326D9B"/>
    <w:multiLevelType w:val="hybridMultilevel"/>
    <w:tmpl w:val="991C7586"/>
    <w:lvl w:ilvl="0" w:tplc="4476C112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olor w:val="auto"/>
      </w:rPr>
    </w:lvl>
    <w:lvl w:ilvl="1" w:tplc="36CA3152">
      <w:start w:val="1"/>
      <w:numFmt w:val="lowerLetter"/>
      <w:lvlText w:val="%2."/>
      <w:lvlJc w:val="left"/>
      <w:pPr>
        <w:ind w:left="1440" w:hanging="360"/>
      </w:pPr>
      <w:rPr>
        <w:i w:val="0"/>
        <w:i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9C2601"/>
    <w:multiLevelType w:val="hybridMultilevel"/>
    <w:tmpl w:val="76DEA39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CF61F2D"/>
    <w:multiLevelType w:val="hybridMultilevel"/>
    <w:tmpl w:val="E33047D6"/>
    <w:lvl w:ilvl="0" w:tplc="6D5837A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6A03E1"/>
    <w:multiLevelType w:val="hybridMultilevel"/>
    <w:tmpl w:val="20AE24D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343FD4"/>
    <w:multiLevelType w:val="hybridMultilevel"/>
    <w:tmpl w:val="D2160B8E"/>
    <w:lvl w:ilvl="0" w:tplc="36CA3152">
      <w:start w:val="1"/>
      <w:numFmt w:val="lowerLetter"/>
      <w:lvlText w:val="%1."/>
      <w:lvlJc w:val="left"/>
      <w:pPr>
        <w:ind w:left="144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C25476"/>
    <w:multiLevelType w:val="hybridMultilevel"/>
    <w:tmpl w:val="5A14065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77980190">
    <w:abstractNumId w:val="8"/>
  </w:num>
  <w:num w:numId="2" w16cid:durableId="1330937121">
    <w:abstractNumId w:val="7"/>
  </w:num>
  <w:num w:numId="3" w16cid:durableId="1545217157">
    <w:abstractNumId w:val="1"/>
  </w:num>
  <w:num w:numId="4" w16cid:durableId="1612397390">
    <w:abstractNumId w:val="10"/>
  </w:num>
  <w:num w:numId="5" w16cid:durableId="1667247463">
    <w:abstractNumId w:val="14"/>
  </w:num>
  <w:num w:numId="6" w16cid:durableId="192576248">
    <w:abstractNumId w:val="4"/>
  </w:num>
  <w:num w:numId="7" w16cid:durableId="442768668">
    <w:abstractNumId w:val="12"/>
  </w:num>
  <w:num w:numId="8" w16cid:durableId="49236282">
    <w:abstractNumId w:val="6"/>
  </w:num>
  <w:num w:numId="9" w16cid:durableId="8940091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8277504">
    <w:abstractNumId w:val="11"/>
  </w:num>
  <w:num w:numId="11" w16cid:durableId="2094815524">
    <w:abstractNumId w:val="0"/>
  </w:num>
  <w:num w:numId="12" w16cid:durableId="214322849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92869604">
    <w:abstractNumId w:val="5"/>
  </w:num>
  <w:num w:numId="14" w16cid:durableId="765468887">
    <w:abstractNumId w:val="9"/>
  </w:num>
  <w:num w:numId="15" w16cid:durableId="1590381305">
    <w:abstractNumId w:val="13"/>
  </w:num>
  <w:num w:numId="16" w16cid:durableId="5443678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794"/>
    <w:rsid w:val="000005F0"/>
    <w:rsid w:val="000077BF"/>
    <w:rsid w:val="00011CC9"/>
    <w:rsid w:val="000139A3"/>
    <w:rsid w:val="0001572F"/>
    <w:rsid w:val="000159C5"/>
    <w:rsid w:val="00016416"/>
    <w:rsid w:val="000203FE"/>
    <w:rsid w:val="000227B0"/>
    <w:rsid w:val="000253CF"/>
    <w:rsid w:val="00025C45"/>
    <w:rsid w:val="00044233"/>
    <w:rsid w:val="00055FEA"/>
    <w:rsid w:val="00066E4A"/>
    <w:rsid w:val="0006781D"/>
    <w:rsid w:val="00067C95"/>
    <w:rsid w:val="00072B6E"/>
    <w:rsid w:val="00074954"/>
    <w:rsid w:val="000824B8"/>
    <w:rsid w:val="00084D8D"/>
    <w:rsid w:val="0009333C"/>
    <w:rsid w:val="00093468"/>
    <w:rsid w:val="000D6396"/>
    <w:rsid w:val="000E2E0D"/>
    <w:rsid w:val="000E548A"/>
    <w:rsid w:val="000F0300"/>
    <w:rsid w:val="000F4250"/>
    <w:rsid w:val="00105B83"/>
    <w:rsid w:val="00120513"/>
    <w:rsid w:val="0013164A"/>
    <w:rsid w:val="0014348B"/>
    <w:rsid w:val="0014407D"/>
    <w:rsid w:val="00144ACD"/>
    <w:rsid w:val="001577A1"/>
    <w:rsid w:val="00166F6E"/>
    <w:rsid w:val="00167A0E"/>
    <w:rsid w:val="0017046F"/>
    <w:rsid w:val="00171AC5"/>
    <w:rsid w:val="00177CB4"/>
    <w:rsid w:val="001A4DFB"/>
    <w:rsid w:val="001B6100"/>
    <w:rsid w:val="001B6945"/>
    <w:rsid w:val="001B6B3D"/>
    <w:rsid w:val="001C384E"/>
    <w:rsid w:val="001C3A08"/>
    <w:rsid w:val="001D644A"/>
    <w:rsid w:val="001F0ECF"/>
    <w:rsid w:val="001F17E5"/>
    <w:rsid w:val="001F18AB"/>
    <w:rsid w:val="00207BE1"/>
    <w:rsid w:val="00211FC1"/>
    <w:rsid w:val="00225494"/>
    <w:rsid w:val="0022614C"/>
    <w:rsid w:val="002321E1"/>
    <w:rsid w:val="002360FC"/>
    <w:rsid w:val="00237F93"/>
    <w:rsid w:val="0024090E"/>
    <w:rsid w:val="00243548"/>
    <w:rsid w:val="00250E7E"/>
    <w:rsid w:val="00275BE3"/>
    <w:rsid w:val="00286750"/>
    <w:rsid w:val="002A6535"/>
    <w:rsid w:val="002B10F2"/>
    <w:rsid w:val="002C2E3D"/>
    <w:rsid w:val="002C3835"/>
    <w:rsid w:val="002E0540"/>
    <w:rsid w:val="002E3627"/>
    <w:rsid w:val="002E75B5"/>
    <w:rsid w:val="003007D2"/>
    <w:rsid w:val="00305DB3"/>
    <w:rsid w:val="003133E3"/>
    <w:rsid w:val="00324C4E"/>
    <w:rsid w:val="00327720"/>
    <w:rsid w:val="003368FD"/>
    <w:rsid w:val="00345D9B"/>
    <w:rsid w:val="00352073"/>
    <w:rsid w:val="0035220E"/>
    <w:rsid w:val="003663CE"/>
    <w:rsid w:val="00367AEC"/>
    <w:rsid w:val="00387638"/>
    <w:rsid w:val="003A380E"/>
    <w:rsid w:val="003B54CA"/>
    <w:rsid w:val="003C206F"/>
    <w:rsid w:val="003C2BEA"/>
    <w:rsid w:val="003E70D2"/>
    <w:rsid w:val="003F724F"/>
    <w:rsid w:val="00414D8C"/>
    <w:rsid w:val="004248CF"/>
    <w:rsid w:val="00467B8E"/>
    <w:rsid w:val="0047125A"/>
    <w:rsid w:val="004719A8"/>
    <w:rsid w:val="00481D70"/>
    <w:rsid w:val="0049074A"/>
    <w:rsid w:val="00497E48"/>
    <w:rsid w:val="004A3EDF"/>
    <w:rsid w:val="004A3F64"/>
    <w:rsid w:val="004A447E"/>
    <w:rsid w:val="004C05FA"/>
    <w:rsid w:val="004C36A8"/>
    <w:rsid w:val="004D36A4"/>
    <w:rsid w:val="00502553"/>
    <w:rsid w:val="00505E6D"/>
    <w:rsid w:val="005075CB"/>
    <w:rsid w:val="00514FB2"/>
    <w:rsid w:val="00520F4B"/>
    <w:rsid w:val="00533AD3"/>
    <w:rsid w:val="00554A53"/>
    <w:rsid w:val="005576BA"/>
    <w:rsid w:val="00560EE0"/>
    <w:rsid w:val="00571018"/>
    <w:rsid w:val="00582A6C"/>
    <w:rsid w:val="00591073"/>
    <w:rsid w:val="00597AF3"/>
    <w:rsid w:val="005A1F1F"/>
    <w:rsid w:val="005A59B7"/>
    <w:rsid w:val="005B7D2F"/>
    <w:rsid w:val="005C0CF3"/>
    <w:rsid w:val="005C19C8"/>
    <w:rsid w:val="005C345F"/>
    <w:rsid w:val="005E559E"/>
    <w:rsid w:val="005E61F0"/>
    <w:rsid w:val="005F0B63"/>
    <w:rsid w:val="005F42E5"/>
    <w:rsid w:val="006127F3"/>
    <w:rsid w:val="00616115"/>
    <w:rsid w:val="00641438"/>
    <w:rsid w:val="006428C9"/>
    <w:rsid w:val="00644630"/>
    <w:rsid w:val="00650CC7"/>
    <w:rsid w:val="00653413"/>
    <w:rsid w:val="006657A0"/>
    <w:rsid w:val="00665EBD"/>
    <w:rsid w:val="00676E24"/>
    <w:rsid w:val="00683101"/>
    <w:rsid w:val="00684560"/>
    <w:rsid w:val="006850BC"/>
    <w:rsid w:val="00685D74"/>
    <w:rsid w:val="006944B5"/>
    <w:rsid w:val="006A0FF3"/>
    <w:rsid w:val="006B01B0"/>
    <w:rsid w:val="006B38B7"/>
    <w:rsid w:val="006B628E"/>
    <w:rsid w:val="006C0F6C"/>
    <w:rsid w:val="006C5FAB"/>
    <w:rsid w:val="006D13F1"/>
    <w:rsid w:val="006D1625"/>
    <w:rsid w:val="006D4FC4"/>
    <w:rsid w:val="006D657D"/>
    <w:rsid w:val="00700E5D"/>
    <w:rsid w:val="007017E5"/>
    <w:rsid w:val="00706CEA"/>
    <w:rsid w:val="00710E19"/>
    <w:rsid w:val="007331AA"/>
    <w:rsid w:val="007373C0"/>
    <w:rsid w:val="0076570A"/>
    <w:rsid w:val="00786729"/>
    <w:rsid w:val="00797E4C"/>
    <w:rsid w:val="007A0DA3"/>
    <w:rsid w:val="007A28F4"/>
    <w:rsid w:val="007A50E2"/>
    <w:rsid w:val="007A663B"/>
    <w:rsid w:val="007A685D"/>
    <w:rsid w:val="007A7FE0"/>
    <w:rsid w:val="007C0602"/>
    <w:rsid w:val="007C189A"/>
    <w:rsid w:val="007C2E61"/>
    <w:rsid w:val="007C3C22"/>
    <w:rsid w:val="007D4691"/>
    <w:rsid w:val="007D4EF5"/>
    <w:rsid w:val="007E0CF7"/>
    <w:rsid w:val="007E542A"/>
    <w:rsid w:val="007F0BA8"/>
    <w:rsid w:val="007F233D"/>
    <w:rsid w:val="00806FDB"/>
    <w:rsid w:val="0081537D"/>
    <w:rsid w:val="0082738B"/>
    <w:rsid w:val="008314EE"/>
    <w:rsid w:val="00842CD5"/>
    <w:rsid w:val="00846A74"/>
    <w:rsid w:val="00851B1F"/>
    <w:rsid w:val="0085315F"/>
    <w:rsid w:val="0086288D"/>
    <w:rsid w:val="00865B5F"/>
    <w:rsid w:val="008705AB"/>
    <w:rsid w:val="00873DDF"/>
    <w:rsid w:val="00883AB0"/>
    <w:rsid w:val="008868FD"/>
    <w:rsid w:val="00896D8B"/>
    <w:rsid w:val="008A1EF3"/>
    <w:rsid w:val="008B6A4D"/>
    <w:rsid w:val="008D6C2B"/>
    <w:rsid w:val="008E1433"/>
    <w:rsid w:val="008E4854"/>
    <w:rsid w:val="008F1BA5"/>
    <w:rsid w:val="00912DDB"/>
    <w:rsid w:val="00917520"/>
    <w:rsid w:val="009309DA"/>
    <w:rsid w:val="00934748"/>
    <w:rsid w:val="009405BD"/>
    <w:rsid w:val="00944609"/>
    <w:rsid w:val="00944D0B"/>
    <w:rsid w:val="0096218F"/>
    <w:rsid w:val="00983106"/>
    <w:rsid w:val="00991A0A"/>
    <w:rsid w:val="00991B2F"/>
    <w:rsid w:val="009A3B8B"/>
    <w:rsid w:val="009B34E3"/>
    <w:rsid w:val="009B78DA"/>
    <w:rsid w:val="009C7D56"/>
    <w:rsid w:val="009D2B62"/>
    <w:rsid w:val="009E2276"/>
    <w:rsid w:val="00A025A8"/>
    <w:rsid w:val="00A101EB"/>
    <w:rsid w:val="00A1566C"/>
    <w:rsid w:val="00A31D21"/>
    <w:rsid w:val="00A35AA0"/>
    <w:rsid w:val="00A42731"/>
    <w:rsid w:val="00A44E33"/>
    <w:rsid w:val="00A548CB"/>
    <w:rsid w:val="00A63CE4"/>
    <w:rsid w:val="00A66637"/>
    <w:rsid w:val="00A67646"/>
    <w:rsid w:val="00A75DD7"/>
    <w:rsid w:val="00A7657F"/>
    <w:rsid w:val="00A77583"/>
    <w:rsid w:val="00A825B8"/>
    <w:rsid w:val="00A90B27"/>
    <w:rsid w:val="00AA09F5"/>
    <w:rsid w:val="00AB1DE3"/>
    <w:rsid w:val="00AD118F"/>
    <w:rsid w:val="00AD36E8"/>
    <w:rsid w:val="00AE6E21"/>
    <w:rsid w:val="00AF0A35"/>
    <w:rsid w:val="00B06170"/>
    <w:rsid w:val="00B0646E"/>
    <w:rsid w:val="00B21D20"/>
    <w:rsid w:val="00B25204"/>
    <w:rsid w:val="00B2632B"/>
    <w:rsid w:val="00B41A22"/>
    <w:rsid w:val="00B47FF1"/>
    <w:rsid w:val="00B54521"/>
    <w:rsid w:val="00B61A62"/>
    <w:rsid w:val="00B658AE"/>
    <w:rsid w:val="00B65C8E"/>
    <w:rsid w:val="00B70BB9"/>
    <w:rsid w:val="00B7464F"/>
    <w:rsid w:val="00B919B2"/>
    <w:rsid w:val="00B920DC"/>
    <w:rsid w:val="00BB3336"/>
    <w:rsid w:val="00BB42F9"/>
    <w:rsid w:val="00BC1476"/>
    <w:rsid w:val="00BC3B26"/>
    <w:rsid w:val="00BE4C46"/>
    <w:rsid w:val="00BE7880"/>
    <w:rsid w:val="00C00635"/>
    <w:rsid w:val="00C01B5F"/>
    <w:rsid w:val="00C06FCA"/>
    <w:rsid w:val="00C15F58"/>
    <w:rsid w:val="00C20CB1"/>
    <w:rsid w:val="00C22D76"/>
    <w:rsid w:val="00C23462"/>
    <w:rsid w:val="00C23606"/>
    <w:rsid w:val="00C30967"/>
    <w:rsid w:val="00C358E9"/>
    <w:rsid w:val="00C35E06"/>
    <w:rsid w:val="00C36340"/>
    <w:rsid w:val="00C367F5"/>
    <w:rsid w:val="00C51FFC"/>
    <w:rsid w:val="00C5218A"/>
    <w:rsid w:val="00C52897"/>
    <w:rsid w:val="00C630BB"/>
    <w:rsid w:val="00C87A52"/>
    <w:rsid w:val="00C955CB"/>
    <w:rsid w:val="00CA669A"/>
    <w:rsid w:val="00CB3B18"/>
    <w:rsid w:val="00CB56C7"/>
    <w:rsid w:val="00CB788F"/>
    <w:rsid w:val="00CC0D85"/>
    <w:rsid w:val="00CC295F"/>
    <w:rsid w:val="00CD3645"/>
    <w:rsid w:val="00CD6B7F"/>
    <w:rsid w:val="00CE2680"/>
    <w:rsid w:val="00CF074F"/>
    <w:rsid w:val="00CF385E"/>
    <w:rsid w:val="00CF6613"/>
    <w:rsid w:val="00D25291"/>
    <w:rsid w:val="00D36C13"/>
    <w:rsid w:val="00D40B5C"/>
    <w:rsid w:val="00D45500"/>
    <w:rsid w:val="00D551DF"/>
    <w:rsid w:val="00D613FE"/>
    <w:rsid w:val="00D66264"/>
    <w:rsid w:val="00D674DA"/>
    <w:rsid w:val="00D75846"/>
    <w:rsid w:val="00D75A5D"/>
    <w:rsid w:val="00D761DF"/>
    <w:rsid w:val="00D8490E"/>
    <w:rsid w:val="00D861B4"/>
    <w:rsid w:val="00D94F3A"/>
    <w:rsid w:val="00DA705C"/>
    <w:rsid w:val="00DB14A4"/>
    <w:rsid w:val="00DB1C49"/>
    <w:rsid w:val="00DB3372"/>
    <w:rsid w:val="00DB5842"/>
    <w:rsid w:val="00DD1D39"/>
    <w:rsid w:val="00DD35AF"/>
    <w:rsid w:val="00DD47D3"/>
    <w:rsid w:val="00DF2776"/>
    <w:rsid w:val="00E07D9F"/>
    <w:rsid w:val="00E15B6D"/>
    <w:rsid w:val="00E236E7"/>
    <w:rsid w:val="00E3247A"/>
    <w:rsid w:val="00E67058"/>
    <w:rsid w:val="00E67206"/>
    <w:rsid w:val="00E75314"/>
    <w:rsid w:val="00E81B43"/>
    <w:rsid w:val="00EA25F0"/>
    <w:rsid w:val="00EB4C82"/>
    <w:rsid w:val="00EC2EFC"/>
    <w:rsid w:val="00ED01AE"/>
    <w:rsid w:val="00ED41F3"/>
    <w:rsid w:val="00EF5032"/>
    <w:rsid w:val="00EF59DE"/>
    <w:rsid w:val="00F011CA"/>
    <w:rsid w:val="00F01269"/>
    <w:rsid w:val="00F174AD"/>
    <w:rsid w:val="00F2563E"/>
    <w:rsid w:val="00F2784D"/>
    <w:rsid w:val="00F27D91"/>
    <w:rsid w:val="00F40307"/>
    <w:rsid w:val="00F4128A"/>
    <w:rsid w:val="00F60A76"/>
    <w:rsid w:val="00F62A46"/>
    <w:rsid w:val="00F667B8"/>
    <w:rsid w:val="00F809E0"/>
    <w:rsid w:val="00F87297"/>
    <w:rsid w:val="00F96146"/>
    <w:rsid w:val="00FA533F"/>
    <w:rsid w:val="00FA7A78"/>
    <w:rsid w:val="00FC120F"/>
    <w:rsid w:val="00FD00D6"/>
    <w:rsid w:val="00FD0FE9"/>
    <w:rsid w:val="00FD5A3F"/>
    <w:rsid w:val="00FD7794"/>
    <w:rsid w:val="00FF67F7"/>
    <w:rsid w:val="03F9BF51"/>
    <w:rsid w:val="15047CDC"/>
    <w:rsid w:val="21C0D269"/>
    <w:rsid w:val="49DE00E2"/>
    <w:rsid w:val="586C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1C5EC"/>
  <w15:chartTrackingRefBased/>
  <w15:docId w15:val="{A2CF6745-337B-4B7F-B018-1623DD0B7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77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D77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D77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D77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D77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D77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D77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D77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D77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77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D77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D77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D779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D779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D779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D779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D779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D779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D77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D7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D77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D77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D77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D7794"/>
    <w:rPr>
      <w:i/>
      <w:iCs/>
      <w:color w:val="404040" w:themeColor="text1" w:themeTint="BF"/>
    </w:rPr>
  </w:style>
  <w:style w:type="paragraph" w:styleId="Akapitzlist">
    <w:name w:val="List Paragraph"/>
    <w:aliases w:val="Numerowanie,Akapit z listą BS,Kolorowa lista — akcent 11,List Paragraph compact,Normal bullet 2,Paragraphe de liste 2,Reference list,Bullet list,Numbered List,List Paragraph1,1st level - Bullet List Paragraph,Paragraph,L,List Paragraph"/>
    <w:basedOn w:val="Normalny"/>
    <w:link w:val="AkapitzlistZnak"/>
    <w:uiPriority w:val="34"/>
    <w:qFormat/>
    <w:rsid w:val="00FD779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D779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D77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D779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D7794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Numerowanie Znak,Akapit z listą BS Znak,Kolorowa lista — akcent 11 Znak,List Paragraph compact Znak,Normal bullet 2 Znak,Paragraphe de liste 2 Znak,Reference list Znak,Bullet list Znak,Numbered List Znak,List Paragraph1 Znak,L Znak"/>
    <w:basedOn w:val="Domylnaczcionkaakapitu"/>
    <w:link w:val="Akapitzlist"/>
    <w:uiPriority w:val="34"/>
    <w:qFormat/>
    <w:locked/>
    <w:rsid w:val="003007D2"/>
  </w:style>
  <w:style w:type="character" w:styleId="Odwoaniedokomentarza">
    <w:name w:val="annotation reference"/>
    <w:basedOn w:val="Domylnaczcionkaakapitu"/>
    <w:uiPriority w:val="99"/>
    <w:semiHidden/>
    <w:unhideWhenUsed/>
    <w:rsid w:val="00105B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05B83"/>
    <w:pPr>
      <w:spacing w:after="20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05B83"/>
    <w:rPr>
      <w:rFonts w:ascii="Calibri" w:eastAsia="Calibri" w:hAnsi="Calibri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2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6984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157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7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21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407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9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82CFCF94F9DB4EBE3E7B693126165F" ma:contentTypeVersion="5" ma:contentTypeDescription="Create a new document." ma:contentTypeScope="" ma:versionID="4521a1c8485e1e9a9a56e27a703f0c23">
  <xsd:schema xmlns:xsd="http://www.w3.org/2001/XMLSchema" xmlns:xs="http://www.w3.org/2001/XMLSchema" xmlns:p="http://schemas.microsoft.com/office/2006/metadata/properties" xmlns:ns3="75274ded-f1c6-48f3-9e26-7ddc0f42b9b5" targetNamespace="http://schemas.microsoft.com/office/2006/metadata/properties" ma:root="true" ma:fieldsID="3931be2e1870b1d4734f62cdaaada15f" ns3:_="">
    <xsd:import namespace="75274ded-f1c6-48f3-9e26-7ddc0f42b9b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74ded-f1c6-48f3-9e26-7ddc0f42b9b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5274ded-f1c6-48f3-9e26-7ddc0f42b9b5" xsi:nil="true"/>
  </documentManagement>
</p:properties>
</file>

<file path=customXml/itemProps1.xml><?xml version="1.0" encoding="utf-8"?>
<ds:datastoreItem xmlns:ds="http://schemas.openxmlformats.org/officeDocument/2006/customXml" ds:itemID="{4876668B-F484-42B9-8615-684B59DBEE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ACA43B-38D6-4618-8B7C-7F876C0E2F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274ded-f1c6-48f3-9e26-7ddc0f42b9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5338AF-2A8F-4447-85B5-6490B05B543C}">
  <ds:schemaRefs>
    <ds:schemaRef ds:uri="http://schemas.microsoft.com/office/2006/metadata/properties"/>
    <ds:schemaRef ds:uri="http://schemas.microsoft.com/office/infopath/2007/PartnerControls"/>
    <ds:schemaRef ds:uri="75274ded-f1c6-48f3-9e26-7ddc0f42b9b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1024</Words>
  <Characters>6146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Szwast Przemysław</dc:creator>
  <cp:keywords/>
  <dc:description/>
  <cp:lastModifiedBy>Dyrka Piotr</cp:lastModifiedBy>
  <cp:revision>9</cp:revision>
  <cp:lastPrinted>2025-10-20T09:11:00Z</cp:lastPrinted>
  <dcterms:created xsi:type="dcterms:W3CDTF">2025-10-20T09:43:00Z</dcterms:created>
  <dcterms:modified xsi:type="dcterms:W3CDTF">2025-10-23T10:55:00Z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0x0101000C82CFCF94F9DB4EBE3E7B693126165F</vt:lpwstr>
  </property>
</Properties>
</file>