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057193E1"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00FF332E">
        <w:rPr>
          <w:rFonts w:cs="Arial"/>
          <w:sz w:val="20"/>
          <w:szCs w:val="20"/>
        </w:rPr>
        <w:t xml:space="preserve"> 1274</w:t>
      </w:r>
      <w:r w:rsidR="004F291E">
        <w:rPr>
          <w:rFonts w:cs="Arial"/>
          <w:sz w:val="20"/>
          <w:szCs w:val="20"/>
        </w:rPr>
        <w:t>/</w:t>
      </w:r>
      <w:r w:rsidR="00FF332E">
        <w:rPr>
          <w:rFonts w:cs="Arial"/>
          <w:sz w:val="20"/>
          <w:szCs w:val="20"/>
        </w:rPr>
        <w:t>44</w:t>
      </w:r>
      <w:r w:rsidR="00CE58A2">
        <w:rPr>
          <w:rFonts w:cs="Arial"/>
          <w:sz w:val="20"/>
          <w:szCs w:val="20"/>
        </w:rPr>
        <w:t>/</w:t>
      </w:r>
      <w:r w:rsidR="00E56B88">
        <w:rPr>
          <w:rFonts w:cs="Arial"/>
          <w:sz w:val="20"/>
          <w:szCs w:val="20"/>
        </w:rPr>
        <w:t>24</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7346FD55"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FF332E">
        <w:rPr>
          <w:rFonts w:cs="Arial"/>
          <w:bCs/>
          <w:sz w:val="20"/>
          <w:szCs w:val="20"/>
        </w:rPr>
        <w:t xml:space="preserve">3 grudnia </w:t>
      </w:r>
      <w:r w:rsidR="00E56B88">
        <w:rPr>
          <w:rFonts w:cs="Arial"/>
          <w:bCs/>
          <w:sz w:val="20"/>
          <w:szCs w:val="20"/>
        </w:rPr>
        <w:t>2024</w:t>
      </w:r>
      <w:r w:rsidR="00CE58A2">
        <w:rPr>
          <w:rFonts w:cs="Arial"/>
          <w:bCs/>
          <w:sz w:val="20"/>
          <w:szCs w:val="20"/>
        </w:rPr>
        <w:t xml:space="preserve">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2B2F5AC3"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w:t>
      </w:r>
      <w:r w:rsidR="00DF726C">
        <w:rPr>
          <w:rFonts w:cs="Arial"/>
          <w:color w:val="000000" w:themeColor="text1"/>
        </w:rPr>
        <w:t>2024</w:t>
      </w:r>
      <w:r w:rsidRPr="268B147C">
        <w:rPr>
          <w:rFonts w:cs="Arial"/>
          <w:color w:val="000000" w:themeColor="text1"/>
        </w:rPr>
        <w:t>/</w:t>
      </w:r>
      <w:r w:rsidR="00DF726C">
        <w:rPr>
          <w:rFonts w:cs="Arial"/>
          <w:color w:val="000000" w:themeColor="text1"/>
        </w:rPr>
        <w:t>2509</w:t>
      </w:r>
      <w:r w:rsidR="00DF726C" w:rsidRPr="268B147C">
        <w:rPr>
          <w:rFonts w:cs="Arial"/>
          <w:color w:val="000000" w:themeColor="text1"/>
        </w:rPr>
        <w:t xml:space="preserve"> </w:t>
      </w:r>
      <w:r w:rsidRPr="268B147C">
        <w:rPr>
          <w:rFonts w:cs="Arial"/>
          <w:color w:val="000000" w:themeColor="text1"/>
        </w:rPr>
        <w:t xml:space="preserve">z dnia </w:t>
      </w:r>
      <w:r w:rsidR="00DF726C">
        <w:rPr>
          <w:rFonts w:cs="Arial"/>
          <w:color w:val="000000" w:themeColor="text1"/>
        </w:rPr>
        <w:t>23 września 2024 r.</w:t>
      </w:r>
      <w:r w:rsidRPr="268B147C">
        <w:rPr>
          <w:rFonts w:cs="Arial"/>
          <w:color w:val="000000" w:themeColor="text1"/>
        </w:rPr>
        <w:t xml:space="preserve"> w sprawie zasad finansowych mających zastosowanie do budżetu ogólnego Unii</w:t>
      </w:r>
      <w:r w:rsidR="00DF726C">
        <w:rPr>
          <w:rFonts w:cs="Arial"/>
          <w:color w:val="000000" w:themeColor="text1"/>
        </w:rPr>
        <w:t>;</w:t>
      </w:r>
      <w:r w:rsidRPr="268B147C">
        <w:rPr>
          <w:rFonts w:cs="Arial"/>
          <w:color w:val="000000" w:themeColor="text1"/>
        </w:rPr>
        <w:t xml:space="preserve"> </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43F3DCEE" w14:textId="0C3FFC28" w:rsidR="007B21B2" w:rsidRPr="00C67E30" w:rsidRDefault="007B21B2" w:rsidP="00E56B88">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w:t>
      </w:r>
      <w:r>
        <w:rPr>
          <w:rFonts w:cs="Arial"/>
        </w:rPr>
        <w:t>2023/2831</w:t>
      </w:r>
      <w:r w:rsidRPr="00787CFE">
        <w:rPr>
          <w:rFonts w:cs="Arial"/>
        </w:rPr>
        <w:t xml:space="preserve"> z dnia 1</w:t>
      </w:r>
      <w:r>
        <w:rPr>
          <w:rFonts w:cs="Arial"/>
        </w:rPr>
        <w:t>3</w:t>
      </w:r>
      <w:r w:rsidRPr="00787CFE">
        <w:rPr>
          <w:rFonts w:cs="Arial"/>
        </w:rPr>
        <w:t xml:space="preserve"> grudnia </w:t>
      </w:r>
      <w:r>
        <w:rPr>
          <w:rFonts w:cs="Arial"/>
        </w:rPr>
        <w:t>2023</w:t>
      </w:r>
      <w:r w:rsidRPr="00787CFE">
        <w:rPr>
          <w:rFonts w:cs="Arial"/>
        </w:rPr>
        <w:t xml:space="preserve"> r. w sprawie stosowania art. 107 i 108 Traktatu o funkcjonowaniu Unii Europejskiej do pomocy de minimis (Dz. Urz. UE L</w:t>
      </w:r>
      <w:r>
        <w:rPr>
          <w:rFonts w:cs="Arial"/>
        </w:rPr>
        <w:t>,</w:t>
      </w:r>
      <w:r w:rsidRPr="00787CFE">
        <w:rPr>
          <w:rFonts w:cs="Arial"/>
        </w:rPr>
        <w:t xml:space="preserve"> </w:t>
      </w:r>
      <w:r>
        <w:rPr>
          <w:rFonts w:cs="Arial"/>
        </w:rPr>
        <w:t>2023/2831 z 15.12.2023 r</w:t>
      </w:r>
      <w:r w:rsidRPr="00787CFE">
        <w:rPr>
          <w:rFonts w:cs="Arial"/>
        </w:rPr>
        <w:t>)</w:t>
      </w:r>
      <w:r w:rsidR="00213E41">
        <w:rPr>
          <w:rFonts w:cs="Arial"/>
        </w:rPr>
        <w:t>;</w:t>
      </w:r>
      <w:r>
        <w:rPr>
          <w:rFonts w:cs="Arial"/>
        </w:rPr>
        <w:t xml:space="preserve"> </w:t>
      </w:r>
    </w:p>
    <w:p w14:paraId="451F807A" w14:textId="3D071FD0" w:rsidR="00AB7387" w:rsidRPr="007B21B2" w:rsidRDefault="000575A0" w:rsidP="007B21B2">
      <w:pPr>
        <w:widowControl w:val="0"/>
        <w:numPr>
          <w:ilvl w:val="0"/>
          <w:numId w:val="53"/>
        </w:numPr>
        <w:tabs>
          <w:tab w:val="left" w:pos="567"/>
        </w:tabs>
        <w:suppressAutoHyphens/>
        <w:spacing w:line="276" w:lineRule="auto"/>
        <w:ind w:left="567" w:hanging="357"/>
        <w:rPr>
          <w:rFonts w:cs="Arial"/>
          <w:color w:val="000000"/>
        </w:rPr>
      </w:pPr>
      <w:r w:rsidRPr="007B21B2">
        <w:rPr>
          <w:rFonts w:cs="Arial"/>
        </w:rPr>
        <w:t xml:space="preserve">rozporządzenia delegowanego Komisji (UE) nr 240/2014 z dnia 7 stycznia 2014 r. </w:t>
      </w:r>
      <w:r w:rsidR="001F729D" w:rsidRPr="007B21B2">
        <w:rPr>
          <w:rFonts w:cs="Arial"/>
        </w:rPr>
        <w:br/>
      </w:r>
      <w:r w:rsidRPr="007B21B2">
        <w:rPr>
          <w:rFonts w:cs="Arial"/>
        </w:rPr>
        <w:t xml:space="preserve">w sprawie europejskiego kodeksu postępowania w zakresie partnerstwa w ramach europejskich funduszy strukturalnych i inwestycyjnych (Dz. Urz. UE L 74 </w:t>
      </w:r>
      <w:r w:rsidR="001F729D" w:rsidRPr="007B21B2">
        <w:rPr>
          <w:rFonts w:cs="Arial"/>
        </w:rPr>
        <w:br/>
      </w:r>
      <w:r w:rsidRPr="007B21B2">
        <w:rPr>
          <w:rFonts w:cs="Arial"/>
        </w:rPr>
        <w:t>z 14</w:t>
      </w:r>
      <w:r w:rsidR="00E466B7" w:rsidRPr="007B21B2">
        <w:rPr>
          <w:rFonts w:cs="Arial"/>
        </w:rPr>
        <w:t>.03.</w:t>
      </w:r>
      <w:r w:rsidRPr="007B21B2">
        <w:rPr>
          <w:rFonts w:cs="Arial"/>
        </w:rPr>
        <w:t>2014</w:t>
      </w:r>
      <w:r w:rsidR="00E466B7" w:rsidRPr="007B21B2">
        <w:rPr>
          <w:rFonts w:cs="Arial"/>
        </w:rPr>
        <w:t>, st</w:t>
      </w:r>
      <w:r w:rsidRPr="007B21B2">
        <w:rPr>
          <w:rFonts w:cs="Arial"/>
        </w:rPr>
        <w:t>r.</w:t>
      </w:r>
      <w:r w:rsidR="00E466B7" w:rsidRPr="007B21B2">
        <w:rPr>
          <w:rFonts w:cs="Arial"/>
        </w:rPr>
        <w:t xml:space="preserve"> 1</w:t>
      </w:r>
      <w:r w:rsidRPr="007B21B2">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42954227"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DF726C">
        <w:rPr>
          <w:rFonts w:cs="Arial"/>
        </w:rPr>
        <w:t>2024</w:t>
      </w:r>
      <w:r w:rsidR="00DF726C" w:rsidRPr="00787CFE">
        <w:rPr>
          <w:rFonts w:cs="Arial"/>
        </w:rPr>
        <w:t xml:space="preserve"> </w:t>
      </w:r>
      <w:r w:rsidRPr="00787CFE">
        <w:rPr>
          <w:rFonts w:cs="Arial"/>
        </w:rPr>
        <w:t>r. poz.</w:t>
      </w:r>
      <w:r w:rsidR="00CF46F4" w:rsidRPr="00787CFE">
        <w:rPr>
          <w:rFonts w:cs="Arial"/>
        </w:rPr>
        <w:t xml:space="preserve"> </w:t>
      </w:r>
      <w:r w:rsidR="00DF726C">
        <w:rPr>
          <w:rFonts w:cs="Arial"/>
        </w:rPr>
        <w:t>1530 i 1572</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z późn.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lastRenderedPageBreak/>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534B0BD3"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 xml:space="preserve">decyzją wykonawczą Komisji Europejskiej </w:t>
      </w:r>
      <w:r w:rsidR="00DA5868">
        <w:rPr>
          <w:rFonts w:cs="Arial"/>
        </w:rPr>
        <w:t>C(2022)8693</w:t>
      </w:r>
      <w:r w:rsidR="00D25E68" w:rsidRPr="0830E6A0">
        <w:rPr>
          <w:rFonts w:cs="Arial"/>
        </w:rPr>
        <w:t xml:space="preserve"> z dnia 2.12.2022 r.</w:t>
      </w:r>
      <w:r w:rsidRPr="0830E6A0">
        <w:rPr>
          <w:rFonts w:cs="Arial"/>
        </w:rPr>
        <w:t>;</w:t>
      </w:r>
    </w:p>
    <w:p w14:paraId="19287B1A" w14:textId="1583D590"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p>
    <w:p w14:paraId="110C75A7" w14:textId="5F44517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00E56B88" w:rsidRPr="0830E6A0">
        <w:rPr>
          <w:rFonts w:cs="Arial"/>
        </w:rPr>
        <w:t>instytucj</w:t>
      </w:r>
      <w:r w:rsidR="00E56B88">
        <w:rPr>
          <w:rFonts w:cs="Arial"/>
        </w:rPr>
        <w:t xml:space="preserve">ę </w:t>
      </w:r>
      <w:r w:rsidR="00E56B88" w:rsidRPr="0830E6A0">
        <w:rPr>
          <w:rFonts w:cs="Arial"/>
        </w:rPr>
        <w:t>koordynując</w:t>
      </w:r>
      <w:r w:rsidR="00E56B88">
        <w:rPr>
          <w:rFonts w:cs="Arial"/>
        </w:rPr>
        <w:t>ą</w:t>
      </w:r>
      <w:r w:rsidR="00E56B88" w:rsidRPr="0830E6A0">
        <w:rPr>
          <w:rFonts w:cs="Arial"/>
        </w:rPr>
        <w:t xml:space="preserve"> </w:t>
      </w:r>
      <w:r w:rsidRPr="0830E6A0">
        <w:rPr>
          <w:rFonts w:cs="Arial"/>
        </w:rPr>
        <w:t xml:space="preserve">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0DFF8816"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t>
      </w:r>
      <w:r w:rsidR="00FD1EEF">
        <w:rPr>
          <w:rFonts w:cs="Arial"/>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64FCB04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00E56B88" w:rsidRPr="0830E6A0">
        <w:rPr>
          <w:rFonts w:cs="Arial"/>
        </w:rPr>
        <w:t>Mazowieck</w:t>
      </w:r>
      <w:r w:rsidR="00E56B88">
        <w:rPr>
          <w:rFonts w:cs="Arial"/>
        </w:rPr>
        <w:t xml:space="preserve">ą </w:t>
      </w:r>
      <w:r w:rsidR="00E56B88" w:rsidRPr="0830E6A0">
        <w:rPr>
          <w:rFonts w:cs="Arial"/>
        </w:rPr>
        <w:t>Jednostk</w:t>
      </w:r>
      <w:r w:rsidR="00E56B88">
        <w:rPr>
          <w:rFonts w:cs="Arial"/>
        </w:rPr>
        <w:t>ę</w:t>
      </w:r>
      <w:r w:rsidR="00E56B88" w:rsidRPr="0830E6A0">
        <w:rPr>
          <w:rFonts w:cs="Arial"/>
        </w:rPr>
        <w:t xml:space="preserve"> </w:t>
      </w:r>
      <w:r w:rsidRPr="0830E6A0">
        <w:rPr>
          <w:rFonts w:cs="Arial"/>
        </w:rPr>
        <w:t xml:space="preserve">Wdrażania Programów Unijnych, </w:t>
      </w:r>
      <w:r w:rsidR="00E56B88" w:rsidRPr="0830E6A0">
        <w:rPr>
          <w:rFonts w:cs="Arial"/>
        </w:rPr>
        <w:t>pełniąc</w:t>
      </w:r>
      <w:r w:rsidR="00E56B88">
        <w:rPr>
          <w:rFonts w:cs="Arial"/>
        </w:rPr>
        <w:t xml:space="preserve">ą </w:t>
      </w:r>
      <w:r w:rsidRPr="0830E6A0">
        <w:rPr>
          <w:rFonts w:cs="Arial"/>
        </w:rPr>
        <w:t>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4549869A"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084086">
        <w:rPr>
          <w:rFonts w:cs="Arial"/>
        </w:rPr>
        <w:t>ą</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7C7514F4"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0E56B88" w:rsidRPr="097C06DF">
        <w:rPr>
          <w:rFonts w:cs="Arial"/>
        </w:rPr>
        <w:t>instytucj</w:t>
      </w:r>
      <w:r w:rsidR="00E56B88">
        <w:rPr>
          <w:rFonts w:cs="Arial"/>
        </w:rPr>
        <w:t>ę</w:t>
      </w:r>
      <w:r w:rsidR="00E56B88" w:rsidRPr="097C06DF">
        <w:rPr>
          <w:rFonts w:cs="Arial"/>
        </w:rPr>
        <w:t xml:space="preserve"> wymienion</w:t>
      </w:r>
      <w:r w:rsidR="00E56B88">
        <w:rPr>
          <w:rFonts w:cs="Arial"/>
        </w:rPr>
        <w:t>ą</w:t>
      </w:r>
      <w:r w:rsidR="00E56B88" w:rsidRPr="097C06DF">
        <w:rPr>
          <w:rFonts w:cs="Arial"/>
        </w:rPr>
        <w:t xml:space="preserve"> </w:t>
      </w:r>
      <w:r w:rsidR="097C06DF" w:rsidRPr="097C06DF">
        <w:rPr>
          <w:rFonts w:cs="Arial"/>
        </w:rPr>
        <w:t>we Wniosku o</w:t>
      </w:r>
      <w:r w:rsidR="00E56B88">
        <w:rPr>
          <w:rFonts w:cs="Arial"/>
        </w:rPr>
        <w:t> </w:t>
      </w:r>
      <w:r w:rsidR="097C06DF" w:rsidRPr="097C06DF">
        <w:rPr>
          <w:rFonts w:cs="Arial"/>
        </w:rPr>
        <w:t>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w:t>
      </w:r>
      <w:r w:rsidR="00E56B88" w:rsidRPr="097C06DF">
        <w:rPr>
          <w:rFonts w:cs="Arial"/>
        </w:rPr>
        <w:t>uczestnicząc</w:t>
      </w:r>
      <w:r w:rsidR="00E56B88">
        <w:rPr>
          <w:rFonts w:cs="Arial"/>
        </w:rPr>
        <w:t>ą</w:t>
      </w:r>
      <w:r w:rsidR="00E56B88" w:rsidRPr="097C06DF">
        <w:rPr>
          <w:rFonts w:cs="Arial"/>
        </w:rPr>
        <w:t xml:space="preserve"> </w:t>
      </w:r>
      <w:r w:rsidR="097C06DF" w:rsidRPr="097C06DF">
        <w:rPr>
          <w:rFonts w:cs="Arial"/>
        </w:rPr>
        <w:t xml:space="preserve">w realizacji Projektu, </w:t>
      </w:r>
      <w:r w:rsidR="00E56B88" w:rsidRPr="097C06DF">
        <w:rPr>
          <w:rFonts w:cs="Arial"/>
        </w:rPr>
        <w:t>wnosząc</w:t>
      </w:r>
      <w:r w:rsidR="00E56B88">
        <w:rPr>
          <w:rFonts w:cs="Arial"/>
        </w:rPr>
        <w:t>ą</w:t>
      </w:r>
      <w:r w:rsidR="00E56B88" w:rsidRPr="097C06DF">
        <w:rPr>
          <w:rFonts w:cs="Arial"/>
        </w:rPr>
        <w:t xml:space="preserve"> </w:t>
      </w:r>
      <w:r w:rsidR="097C06DF" w:rsidRPr="097C06DF">
        <w:rPr>
          <w:rFonts w:cs="Arial"/>
        </w:rPr>
        <w:t>do niego zasoby ludzkie, organizacyjne, techniczne lub finansowe, realizującą Projekt wspólnie z Beneficjentem, na warunkach określonych w</w:t>
      </w:r>
      <w:r w:rsidR="00E56B88">
        <w:rPr>
          <w:rFonts w:cs="Arial"/>
        </w:rPr>
        <w:t> </w:t>
      </w:r>
      <w:r w:rsidR="097C06DF" w:rsidRPr="097C06DF">
        <w:rPr>
          <w:rFonts w:cs="Arial"/>
        </w:rPr>
        <w:t>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D61CD"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w:t>
      </w:r>
      <w:r w:rsidR="00E56B88" w:rsidRPr="097C06DF">
        <w:rPr>
          <w:rFonts w:cs="Arial"/>
        </w:rPr>
        <w:t>operacj</w:t>
      </w:r>
      <w:r w:rsidR="00E56B88">
        <w:rPr>
          <w:rFonts w:cs="Arial"/>
        </w:rPr>
        <w:t>ę</w:t>
      </w:r>
      <w:r w:rsidR="00E56B88" w:rsidRPr="097C06DF">
        <w:rPr>
          <w:rFonts w:cs="Arial"/>
        </w:rPr>
        <w:t xml:space="preserve"> </w:t>
      </w:r>
      <w:r w:rsidRPr="097C06DF">
        <w:rPr>
          <w:rFonts w:cs="Arial"/>
        </w:rPr>
        <w:t>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2AA3C65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4553BB">
        <w:rPr>
          <w:rFonts w:cs="Arial"/>
        </w:rPr>
        <w:t>ą</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p>
    <w:p w14:paraId="082729F9" w14:textId="0DF0A2C0"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00DA5868" w:rsidRPr="0830E6A0">
        <w:rPr>
          <w:rFonts w:cs="Arial"/>
        </w:rPr>
        <w:t>umow</w:t>
      </w:r>
      <w:r w:rsidR="00DA5868">
        <w:rPr>
          <w:rFonts w:cs="Arial"/>
        </w:rPr>
        <w:t>ę</w:t>
      </w:r>
      <w:r w:rsidR="00DA5868" w:rsidRPr="0830E6A0">
        <w:rPr>
          <w:rFonts w:cs="Arial"/>
        </w:rPr>
        <w:t xml:space="preserve"> </w:t>
      </w:r>
      <w:r w:rsidRPr="0830E6A0">
        <w:rPr>
          <w:rFonts w:cs="Arial"/>
        </w:rPr>
        <w:t xml:space="preserve">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3A06595"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lastRenderedPageBreak/>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p>
    <w:p w14:paraId="1E4EA9C7" w14:textId="1B65EA0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w:t>
      </w:r>
      <w:r w:rsidR="00DA5868">
        <w:rPr>
          <w:rFonts w:cs="Arial"/>
        </w:rPr>
        <w:t>,</w:t>
      </w:r>
      <w:r w:rsidRPr="005D31F8">
        <w:rPr>
          <w:rFonts w:cs="Arial"/>
        </w:rPr>
        <w:t xml:space="preserve"> w ramach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FD10EA0"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p>
    <w:p w14:paraId="28BFE31E" w14:textId="6B31A1C7"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00DA5868" w:rsidRPr="00143421">
        <w:rPr>
          <w:rFonts w:cs="Arial"/>
        </w:rPr>
        <w:t>dat</w:t>
      </w:r>
      <w:r w:rsidR="00DA5868">
        <w:rPr>
          <w:rFonts w:cs="Arial"/>
        </w:rPr>
        <w:t>ę</w:t>
      </w:r>
      <w:r w:rsidR="00DA5868" w:rsidRPr="00143421">
        <w:rPr>
          <w:rFonts w:cs="Arial"/>
        </w:rPr>
        <w:t xml:space="preserve"> </w:t>
      </w:r>
      <w:r w:rsidRPr="00143421">
        <w:rPr>
          <w:rFonts w:cs="Arial"/>
        </w:rPr>
        <w:t xml:space="preserve">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005CD3C5" w:rsidR="00905124" w:rsidRPr="00573822"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00DA5868" w:rsidRPr="0830E6A0">
        <w:rPr>
          <w:rFonts w:ascii="Arial" w:hAnsi="Arial" w:cs="Arial"/>
          <w:sz w:val="24"/>
          <w:szCs w:val="24"/>
        </w:rPr>
        <w:t>pisemn</w:t>
      </w:r>
      <w:r w:rsidR="00DA5868">
        <w:rPr>
          <w:rFonts w:ascii="Arial" w:hAnsi="Arial" w:cs="Arial"/>
          <w:sz w:val="24"/>
          <w:szCs w:val="24"/>
        </w:rPr>
        <w:t>ą</w:t>
      </w:r>
      <w:r w:rsidR="00DA5868" w:rsidRPr="0830E6A0">
        <w:rPr>
          <w:rFonts w:ascii="Arial" w:hAnsi="Arial" w:cs="Arial"/>
          <w:sz w:val="24"/>
          <w:szCs w:val="24"/>
        </w:rPr>
        <w:t xml:space="preserve"> umow</w:t>
      </w:r>
      <w:r w:rsidR="00DA5868">
        <w:rPr>
          <w:rFonts w:ascii="Arial" w:hAnsi="Arial" w:cs="Arial"/>
          <w:sz w:val="24"/>
          <w:szCs w:val="24"/>
        </w:rPr>
        <w:t>ę</w:t>
      </w:r>
      <w:r w:rsidR="00DA5868" w:rsidRPr="0830E6A0">
        <w:rPr>
          <w:rFonts w:ascii="Arial" w:hAnsi="Arial" w:cs="Arial"/>
          <w:sz w:val="24"/>
          <w:szCs w:val="24"/>
        </w:rPr>
        <w:t xml:space="preserve"> odpłatn</w:t>
      </w:r>
      <w:r w:rsidR="00DA5868">
        <w:rPr>
          <w:rFonts w:ascii="Arial" w:hAnsi="Arial" w:cs="Arial"/>
          <w:sz w:val="24"/>
          <w:szCs w:val="24"/>
        </w:rPr>
        <w:t>ą</w:t>
      </w:r>
      <w:r w:rsidRPr="0830E6A0">
        <w:rPr>
          <w:rFonts w:ascii="Arial" w:hAnsi="Arial" w:cs="Arial"/>
          <w:sz w:val="24"/>
          <w:szCs w:val="24"/>
        </w:rPr>
        <w:t xml:space="preserve">, </w:t>
      </w:r>
      <w:r w:rsidR="00DA5868" w:rsidRPr="0830E6A0">
        <w:rPr>
          <w:rFonts w:ascii="Arial" w:hAnsi="Arial" w:cs="Arial"/>
          <w:sz w:val="24"/>
          <w:szCs w:val="24"/>
        </w:rPr>
        <w:t>zawart</w:t>
      </w:r>
      <w:r w:rsidR="00DA5868">
        <w:rPr>
          <w:rFonts w:ascii="Arial" w:hAnsi="Arial" w:cs="Arial"/>
          <w:sz w:val="24"/>
          <w:szCs w:val="24"/>
        </w:rPr>
        <w:t>ą</w:t>
      </w:r>
      <w:r w:rsidR="00DA5868" w:rsidRPr="0830E6A0">
        <w:rPr>
          <w:rFonts w:ascii="Arial" w:hAnsi="Arial" w:cs="Arial"/>
          <w:sz w:val="24"/>
          <w:szCs w:val="24"/>
        </w:rPr>
        <w:t xml:space="preserve"> </w:t>
      </w:r>
      <w:r w:rsidRPr="0830E6A0">
        <w:rPr>
          <w:rFonts w:ascii="Arial" w:hAnsi="Arial" w:cs="Arial"/>
          <w:sz w:val="24"/>
          <w:szCs w:val="24"/>
        </w:rPr>
        <w:t>pomiędzy zamawiającym a wykonawcą, której przedmiotem są usługi, dostawy lub roboty budowlane przewidziane w projekcie realizowanym w</w:t>
      </w:r>
      <w:r w:rsidR="00DA5868">
        <w:rPr>
          <w:rFonts w:ascii="Arial" w:hAnsi="Arial" w:cs="Arial"/>
          <w:sz w:val="24"/>
          <w:szCs w:val="24"/>
        </w:rPr>
        <w:t> </w:t>
      </w:r>
      <w:r w:rsidRPr="0830E6A0">
        <w:rPr>
          <w:rFonts w:ascii="Arial" w:hAnsi="Arial" w:cs="Arial"/>
          <w:sz w:val="24"/>
          <w:szCs w:val="24"/>
        </w:rPr>
        <w:t>ramach FEM 2021-2027;</w:t>
      </w:r>
    </w:p>
    <w:p w14:paraId="181D36F1" w14:textId="3530B3E8" w:rsidR="00573822" w:rsidRPr="00573822" w:rsidRDefault="00573822" w:rsidP="00EE0DAC">
      <w:pPr>
        <w:pStyle w:val="Akapitzlist"/>
        <w:keepNext/>
        <w:numPr>
          <w:ilvl w:val="0"/>
          <w:numId w:val="63"/>
        </w:numPr>
        <w:autoSpaceDE w:val="0"/>
        <w:autoSpaceDN w:val="0"/>
        <w:adjustRightInd w:val="0"/>
        <w:spacing w:line="276" w:lineRule="auto"/>
        <w:jc w:val="left"/>
        <w:rPr>
          <w:rFonts w:ascii="Arial" w:hAnsi="Arial" w:cs="Arial"/>
          <w:sz w:val="24"/>
          <w:szCs w:val="24"/>
        </w:rPr>
      </w:pPr>
      <w:r>
        <w:rPr>
          <w:rFonts w:ascii="Arial" w:hAnsi="Arial" w:cs="Arial"/>
          <w:b/>
          <w:bCs/>
          <w:sz w:val="24"/>
          <w:szCs w:val="24"/>
        </w:rPr>
        <w:t>„</w:t>
      </w:r>
      <w:r w:rsidRPr="00573822">
        <w:rPr>
          <w:rFonts w:ascii="Arial" w:hAnsi="Arial" w:cs="Arial"/>
          <w:b/>
          <w:bCs/>
          <w:sz w:val="24"/>
          <w:szCs w:val="24"/>
        </w:rPr>
        <w:t>Zasada DNSH</w:t>
      </w:r>
      <w:r>
        <w:rPr>
          <w:rFonts w:ascii="Arial" w:hAnsi="Arial" w:cs="Arial"/>
          <w:b/>
          <w:bCs/>
          <w:sz w:val="24"/>
          <w:szCs w:val="24"/>
        </w:rPr>
        <w:t>”</w:t>
      </w:r>
      <w:r w:rsidRPr="00573822">
        <w:rPr>
          <w:rFonts w:ascii="Arial" w:hAnsi="Arial" w:cs="Arial"/>
          <w:sz w:val="24"/>
          <w:szCs w:val="24"/>
        </w:rPr>
        <w:t xml:space="preserve"> </w:t>
      </w:r>
      <w:r>
        <w:rPr>
          <w:rFonts w:ascii="Arial" w:hAnsi="Arial" w:cs="Arial"/>
          <w:sz w:val="24"/>
          <w:szCs w:val="24"/>
        </w:rPr>
        <w:t>–</w:t>
      </w:r>
      <w:r w:rsidRPr="00573822">
        <w:rPr>
          <w:rFonts w:ascii="Arial" w:hAnsi="Arial" w:cs="Arial"/>
          <w:sz w:val="24"/>
          <w:szCs w:val="24"/>
        </w:rPr>
        <w:t xml:space="preserve"> </w:t>
      </w:r>
      <w:r w:rsidRPr="00573822">
        <w:rPr>
          <w:rFonts w:ascii="Arial" w:hAnsi="Arial" w:cs="Arial"/>
          <w:sz w:val="24"/>
          <w:szCs w:val="24"/>
          <w:shd w:val="clear" w:color="auto" w:fill="FFFFFF"/>
        </w:rPr>
        <w:t>DNSH to skrót od sformułowania „Do No Significant Harm”, które tłumaczy się jako „Nie wyrządzaj znaczącej szkody”. </w:t>
      </w:r>
      <w:r w:rsidRPr="00573822">
        <w:rPr>
          <w:rStyle w:val="Pogrubienie"/>
          <w:rFonts w:ascii="Arial" w:hAnsi="Arial" w:cs="Arial"/>
          <w:b w:val="0"/>
          <w:bCs w:val="0"/>
          <w:sz w:val="24"/>
          <w:szCs w:val="24"/>
          <w:shd w:val="clear" w:color="auto" w:fill="FFFFFF"/>
        </w:rPr>
        <w:t>Reguła DNSH dotyczy różnych przedsięwzięć gospodarczych, w tym m.in. inwestycji budowlanych. Zakłada ona, że inwestycje będą realizowane w taki sposób, aby jednocześnie łagodzić zmiany klimatu</w:t>
      </w:r>
      <w:r w:rsidRPr="00573822">
        <w:rPr>
          <w:rFonts w:ascii="Arial" w:hAnsi="Arial" w:cs="Arial"/>
          <w:b/>
          <w:bCs/>
          <w:sz w:val="24"/>
          <w:szCs w:val="24"/>
          <w:shd w:val="clear" w:color="auto" w:fill="FFFFFF"/>
        </w:rPr>
        <w:t> </w:t>
      </w:r>
      <w:r w:rsidRPr="00573822">
        <w:rPr>
          <w:rFonts w:ascii="Arial" w:hAnsi="Arial" w:cs="Arial"/>
          <w:sz w:val="24"/>
          <w:szCs w:val="24"/>
          <w:shd w:val="clear" w:color="auto" w:fill="FFFFFF"/>
        </w:rPr>
        <w:t>(lub wnosić wkład w adaptację do zmian klimatu) </w:t>
      </w:r>
      <w:r w:rsidRPr="00573822">
        <w:rPr>
          <w:rStyle w:val="Pogrubienie"/>
          <w:rFonts w:ascii="Arial" w:hAnsi="Arial" w:cs="Arial"/>
          <w:b w:val="0"/>
          <w:bCs w:val="0"/>
          <w:sz w:val="24"/>
          <w:szCs w:val="24"/>
          <w:shd w:val="clear" w:color="auto" w:fill="FFFFFF"/>
        </w:rPr>
        <w:t>i chronić środowisko</w:t>
      </w:r>
      <w:r w:rsidRPr="00573822">
        <w:rPr>
          <w:rStyle w:val="Pogrubienie"/>
          <w:rFonts w:ascii="Arial" w:hAnsi="Arial" w:cs="Arial"/>
          <w:sz w:val="24"/>
          <w:szCs w:val="24"/>
          <w:shd w:val="clear" w:color="auto" w:fill="FFFFFF"/>
        </w:rPr>
        <w:t> </w:t>
      </w:r>
      <w:r w:rsidRPr="00573822">
        <w:rPr>
          <w:rFonts w:ascii="Arial" w:hAnsi="Arial" w:cs="Arial"/>
          <w:sz w:val="24"/>
          <w:szCs w:val="24"/>
          <w:shd w:val="clear" w:color="auto" w:fill="FFFFFF"/>
        </w:rPr>
        <w:t>(np. zapobiegać zanieczyszczeniom wody, powietrza i gleby czy chronić oraz odtwarzać bioróżnorodność).</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lastRenderedPageBreak/>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0434D39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w:t>
      </w:r>
      <w:r w:rsidR="00DA5868">
        <w:rPr>
          <w:rFonts w:cs="Arial"/>
        </w:rPr>
        <w:t> </w:t>
      </w:r>
      <w:r w:rsidR="699A085A" w:rsidRPr="5EAAFBE3">
        <w:rPr>
          <w:rFonts w:cs="Arial"/>
        </w:rPr>
        <w:t>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9A6AD22"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lastRenderedPageBreak/>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865050"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560AEEA9" w14:textId="4CB32C33" w:rsidR="00187B56" w:rsidRDefault="00187B56" w:rsidP="00865050">
      <w:pPr>
        <w:spacing w:line="276" w:lineRule="auto"/>
        <w:ind w:left="709" w:hanging="425"/>
        <w:rPr>
          <w:rFonts w:cs="Arial"/>
        </w:rPr>
      </w:pPr>
      <w:r>
        <w:rPr>
          <w:rFonts w:eastAsia="Calibri" w:cs="Arial"/>
          <w:lang w:eastAsia="en-US"/>
        </w:rPr>
        <w:t xml:space="preserve">3) </w:t>
      </w:r>
      <w:r>
        <w:rPr>
          <w:rFonts w:cs="Arial"/>
        </w:rPr>
        <w:t>oświadczenie o kwalifikowalności VAT</w:t>
      </w:r>
      <w:r>
        <w:rPr>
          <w:rStyle w:val="Odwoanieprzypisudolnego"/>
          <w:rFonts w:cs="Arial"/>
        </w:rPr>
        <w:footnoteReference w:id="17"/>
      </w:r>
      <w:r w:rsidR="00815E85" w:rsidRPr="00815E85">
        <w:rPr>
          <w:rFonts w:cs="Arial"/>
          <w:vertAlign w:val="superscript"/>
        </w:rPr>
        <w:t>)</w:t>
      </w:r>
      <w:r>
        <w:rPr>
          <w:rFonts w:cs="Arial"/>
        </w:rPr>
        <w:t>. Ocena kwalifikowalności podatku VAT będzie polegała na dwustopniowej weryfikacji przez MJWPU:</w:t>
      </w:r>
    </w:p>
    <w:p w14:paraId="7C72B1C4" w14:textId="77777777" w:rsidR="00187B56" w:rsidRDefault="00187B56" w:rsidP="00187B56">
      <w:pPr>
        <w:spacing w:line="276" w:lineRule="auto"/>
        <w:ind w:left="993" w:hanging="284"/>
        <w:rPr>
          <w:rFonts w:cs="Arial"/>
        </w:rPr>
      </w:pPr>
      <w:r>
        <w:rPr>
          <w:rFonts w:cs="Arial"/>
        </w:rPr>
        <w:t>a) na podstawie dokumentu pdf. pobranego przez MJWPU ze strony podatki.gov.pl pozwalającego sprawdzić status podatnika VAT lub na podstawie zaświadczeń o statusie podatnika VAT;</w:t>
      </w:r>
    </w:p>
    <w:p w14:paraId="571AAD61" w14:textId="77777777" w:rsidR="00187B56" w:rsidRDefault="00187B56" w:rsidP="00187B56">
      <w:pPr>
        <w:spacing w:line="276" w:lineRule="auto"/>
        <w:ind w:left="993" w:hanging="284"/>
        <w:rPr>
          <w:rFonts w:cs="Arial"/>
        </w:rPr>
      </w:pPr>
      <w:r>
        <w:rPr>
          <w:rFonts w:cs="Arial"/>
        </w:rPr>
        <w:t>b) na podstawie oświadczeń Beneficjenta o kwalifikowalności podatku  (uwzględniających jego aktualny status podatkowy).</w:t>
      </w:r>
    </w:p>
    <w:p w14:paraId="0DC3B538" w14:textId="212A9FB4" w:rsidR="00187B56" w:rsidRPr="00187B56" w:rsidRDefault="00187B56" w:rsidP="00865050">
      <w:pPr>
        <w:spacing w:line="276" w:lineRule="auto"/>
        <w:rPr>
          <w:rFonts w:eastAsia="Calibri" w:cs="Arial"/>
          <w:lang w:eastAsia="en-US"/>
        </w:rPr>
      </w:pPr>
      <w:r>
        <w:rPr>
          <w:rFonts w:cs="Arial"/>
        </w:rPr>
        <w:t>Beneficjent jest zobowiązany do zgłaszania do MJWPU zmiany łącznego kosztu projektu mającej wpływ na kwalifikowalność podatku VAT.</w:t>
      </w:r>
    </w:p>
    <w:p w14:paraId="5D4724CA" w14:textId="68CDCA43" w:rsidR="004352FC" w:rsidRPr="005B034B" w:rsidRDefault="00187B56" w:rsidP="005B25BF">
      <w:pPr>
        <w:pStyle w:val="Akapitzlist"/>
        <w:spacing w:line="276" w:lineRule="auto"/>
        <w:ind w:left="567" w:hanging="283"/>
        <w:jc w:val="left"/>
        <w:rPr>
          <w:rFonts w:ascii="Arial" w:hAnsi="Arial" w:cs="Arial"/>
          <w:sz w:val="24"/>
          <w:szCs w:val="24"/>
        </w:rPr>
      </w:pPr>
      <w:r>
        <w:rPr>
          <w:rFonts w:ascii="Arial" w:hAnsi="Arial" w:cs="Arial"/>
          <w:sz w:val="24"/>
          <w:szCs w:val="24"/>
        </w:rPr>
        <w:t xml:space="preserve">4) </w:t>
      </w:r>
      <w:r w:rsidR="004352FC" w:rsidRPr="005B034B">
        <w:rPr>
          <w:rFonts w:ascii="Arial" w:hAnsi="Arial" w:cs="Arial"/>
          <w:sz w:val="24"/>
          <w:szCs w:val="24"/>
        </w:rPr>
        <w:t>dokument</w:t>
      </w:r>
      <w:r w:rsidR="006A70E8">
        <w:rPr>
          <w:rFonts w:ascii="Arial" w:hAnsi="Arial" w:cs="Arial"/>
          <w:sz w:val="24"/>
          <w:szCs w:val="24"/>
        </w:rPr>
        <w:t>y</w:t>
      </w:r>
      <w:r w:rsidR="004352FC" w:rsidRPr="005B034B">
        <w:rPr>
          <w:rFonts w:ascii="Arial" w:hAnsi="Arial" w:cs="Arial"/>
          <w:sz w:val="24"/>
          <w:szCs w:val="24"/>
        </w:rPr>
        <w:t xml:space="preserve"> potwierdzając</w:t>
      </w:r>
      <w:r w:rsidR="006A70E8">
        <w:rPr>
          <w:rFonts w:ascii="Arial" w:hAnsi="Arial" w:cs="Arial"/>
          <w:sz w:val="24"/>
          <w:szCs w:val="24"/>
        </w:rPr>
        <w:t>e</w:t>
      </w:r>
      <w:r w:rsidR="004352FC"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004352FC" w:rsidRPr="005B034B">
        <w:rPr>
          <w:rFonts w:ascii="Arial" w:hAnsi="Arial" w:cs="Arial"/>
          <w:sz w:val="24"/>
          <w:szCs w:val="24"/>
        </w:rPr>
        <w:t>urządzeń/sprzętu/dostaw lub przyjęcia materiałów</w:t>
      </w:r>
      <w:r w:rsidR="004352FC" w:rsidRPr="005B034B">
        <w:rPr>
          <w:rFonts w:ascii="Arial" w:hAnsi="Arial" w:cs="Arial"/>
          <w:sz w:val="24"/>
          <w:szCs w:val="24"/>
          <w:vertAlign w:val="superscript"/>
        </w:rPr>
        <w:footnoteReference w:id="18"/>
      </w:r>
      <w:r w:rsidR="00CC48AC" w:rsidRPr="005B034B">
        <w:rPr>
          <w:rFonts w:ascii="Arial" w:hAnsi="Arial" w:cs="Arial"/>
          <w:sz w:val="24"/>
          <w:szCs w:val="24"/>
          <w:vertAlign w:val="superscript"/>
        </w:rPr>
        <w:t>)</w:t>
      </w:r>
      <w:r w:rsidR="004352FC"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004352FC"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6BFB838A" w:rsidR="004352FC" w:rsidRPr="005B034B" w:rsidRDefault="00187B56" w:rsidP="005B25BF">
      <w:pPr>
        <w:tabs>
          <w:tab w:val="num" w:pos="709"/>
        </w:tabs>
        <w:spacing w:line="276" w:lineRule="auto"/>
        <w:ind w:left="567" w:hanging="284"/>
        <w:rPr>
          <w:rFonts w:cs="Arial"/>
        </w:rPr>
      </w:pPr>
      <w:r>
        <w:rPr>
          <w:rFonts w:cs="Arial"/>
        </w:rPr>
        <w:lastRenderedPageBreak/>
        <w:t xml:space="preserve">5) </w:t>
      </w:r>
      <w:r w:rsidR="009C7109"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19"/>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2338015" w:rsidR="004352FC" w:rsidRPr="005B034B" w:rsidRDefault="00FB23B4" w:rsidP="00942186">
      <w:pPr>
        <w:tabs>
          <w:tab w:val="num" w:pos="426"/>
        </w:tabs>
        <w:spacing w:line="276" w:lineRule="auto"/>
        <w:ind w:left="426" w:hanging="284"/>
        <w:rPr>
          <w:rFonts w:cs="Arial"/>
        </w:rPr>
      </w:pPr>
      <w:r>
        <w:rPr>
          <w:rFonts w:cs="Arial"/>
        </w:rPr>
        <w:t xml:space="preserve">6) </w:t>
      </w:r>
      <w:r w:rsidR="009C7109"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1BC0E06D" w:rsidR="004352FC" w:rsidRPr="005B034B" w:rsidRDefault="00FB23B4" w:rsidP="00942186">
      <w:pPr>
        <w:spacing w:line="276" w:lineRule="auto"/>
        <w:ind w:left="426" w:hanging="284"/>
        <w:rPr>
          <w:rFonts w:cs="Arial"/>
        </w:rPr>
      </w:pPr>
      <w:r>
        <w:rPr>
          <w:rFonts w:cs="Arial"/>
        </w:rPr>
        <w:t xml:space="preserve">7) </w:t>
      </w:r>
      <w:r w:rsidR="004352FC" w:rsidRPr="005B034B">
        <w:rPr>
          <w:rFonts w:cs="Arial"/>
        </w:rPr>
        <w:t>inn</w:t>
      </w:r>
      <w:r w:rsidR="00A813F9">
        <w:rPr>
          <w:rFonts w:cs="Arial"/>
        </w:rPr>
        <w:t>e</w:t>
      </w:r>
      <w:r w:rsidR="004352FC" w:rsidRPr="005B034B">
        <w:rPr>
          <w:rFonts w:cs="Arial"/>
        </w:rPr>
        <w:t xml:space="preserve"> dokument</w:t>
      </w:r>
      <w:r w:rsidR="00A813F9">
        <w:rPr>
          <w:rFonts w:cs="Arial"/>
        </w:rPr>
        <w:t>y</w:t>
      </w:r>
      <w:r w:rsidR="004352FC" w:rsidRPr="005B034B">
        <w:rPr>
          <w:rFonts w:cs="Arial"/>
        </w:rPr>
        <w:t xml:space="preserve"> potwierdzając</w:t>
      </w:r>
      <w:r w:rsidR="00A813F9">
        <w:rPr>
          <w:rFonts w:cs="Arial"/>
        </w:rPr>
        <w:t>e</w:t>
      </w:r>
      <w:r w:rsidR="004352FC" w:rsidRPr="005B034B">
        <w:rPr>
          <w:rFonts w:cs="Arial"/>
        </w:rPr>
        <w:t xml:space="preserve"> prawidłową realizację </w:t>
      </w:r>
      <w:r w:rsidR="00A40501" w:rsidRPr="005B034B">
        <w:rPr>
          <w:rFonts w:cs="Arial"/>
        </w:rPr>
        <w:t>P</w:t>
      </w:r>
      <w:r w:rsidR="004352FC" w:rsidRPr="005B034B">
        <w:rPr>
          <w:rFonts w:cs="Arial"/>
        </w:rPr>
        <w:t xml:space="preserve">rojektu (np. dokumenty potwierdzające uzyskanie przez </w:t>
      </w:r>
      <w:r w:rsidR="00636A8E" w:rsidRPr="005B034B">
        <w:rPr>
          <w:rFonts w:cs="Arial"/>
        </w:rPr>
        <w:t>B</w:t>
      </w:r>
      <w:r w:rsidR="004352FC" w:rsidRPr="005B034B">
        <w:rPr>
          <w:rFonts w:cs="Arial"/>
        </w:rPr>
        <w:t>eneficjenta przewidzianych prawem decyzji/pozwoleń umożliwiając</w:t>
      </w:r>
      <w:r w:rsidR="00A40501" w:rsidRPr="005B034B">
        <w:rPr>
          <w:rFonts w:cs="Arial"/>
        </w:rPr>
        <w:t>ych użytkowanie infrastruktury P</w:t>
      </w:r>
      <w:r w:rsidR="004352FC" w:rsidRPr="005B034B">
        <w:rPr>
          <w:rFonts w:cs="Arial"/>
        </w:rPr>
        <w:t xml:space="preserve">rojektu – jeśli dotyczy), dla wydatków ujętych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19C524C7" w:rsidR="0059686C" w:rsidRPr="005B034B" w:rsidRDefault="00FB23B4" w:rsidP="00942186">
      <w:pPr>
        <w:spacing w:line="276" w:lineRule="auto"/>
        <w:ind w:left="426" w:hanging="284"/>
        <w:rPr>
          <w:rFonts w:cs="Arial"/>
        </w:rPr>
      </w:pPr>
      <w:r>
        <w:rPr>
          <w:rFonts w:eastAsia="Calibri" w:cs="Arial"/>
          <w:lang w:eastAsia="en-US"/>
        </w:rPr>
        <w:t xml:space="preserve">8) </w:t>
      </w:r>
      <w:r w:rsidR="00126C15"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555B839A" w:rsidR="00432FB6" w:rsidRDefault="00FB23B4" w:rsidP="00865050">
      <w:pPr>
        <w:spacing w:line="276" w:lineRule="auto"/>
        <w:ind w:left="709" w:hanging="567"/>
        <w:rPr>
          <w:rFonts w:cs="Arial"/>
        </w:rPr>
      </w:pPr>
      <w:r>
        <w:rPr>
          <w:rFonts w:eastAsia="Calibri" w:cs="Arial"/>
          <w:lang w:eastAsia="en-US"/>
        </w:rPr>
        <w:t xml:space="preserve">9) </w:t>
      </w:r>
      <w:r w:rsidR="59D04FF1"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36F84981" w:rsidR="00432FB6" w:rsidRDefault="00FB23B4" w:rsidP="00942186">
      <w:pPr>
        <w:spacing w:line="276" w:lineRule="auto"/>
        <w:ind w:left="142" w:hanging="142"/>
        <w:rPr>
          <w:rFonts w:eastAsia="Arial" w:cs="Arial"/>
        </w:rPr>
      </w:pPr>
      <w:r>
        <w:rPr>
          <w:rFonts w:eastAsia="Arial" w:cs="Arial"/>
        </w:rPr>
        <w:t xml:space="preserve">10) </w:t>
      </w:r>
      <w:r w:rsidR="7B911556" w:rsidRPr="00432FB6">
        <w:rPr>
          <w:rFonts w:eastAsia="Arial" w:cs="Arial"/>
        </w:rPr>
        <w:t>dokument</w:t>
      </w:r>
      <w:r w:rsidR="00A861C4">
        <w:rPr>
          <w:rFonts w:eastAsia="Arial" w:cs="Arial"/>
        </w:rPr>
        <w:t>y</w:t>
      </w:r>
      <w:r w:rsidR="7B911556" w:rsidRPr="00432FB6">
        <w:rPr>
          <w:rFonts w:eastAsia="Arial" w:cs="Arial"/>
        </w:rPr>
        <w:t xml:space="preserve"> potwierdzając</w:t>
      </w:r>
      <w:r w:rsidR="00763648">
        <w:rPr>
          <w:rFonts w:eastAsia="Arial" w:cs="Arial"/>
        </w:rPr>
        <w:t>e</w:t>
      </w:r>
      <w:r w:rsidR="7B911556" w:rsidRPr="00432FB6">
        <w:rPr>
          <w:rFonts w:eastAsia="Arial" w:cs="Arial"/>
        </w:rPr>
        <w:t xml:space="preserve"> działania informacyjno-promocyjne</w:t>
      </w:r>
      <w:r w:rsidR="00E17B57">
        <w:rPr>
          <w:rFonts w:eastAsia="Arial" w:cs="Arial"/>
        </w:rPr>
        <w:t>;</w:t>
      </w:r>
    </w:p>
    <w:p w14:paraId="05711D2F" w14:textId="450391B5" w:rsidR="002C2B44" w:rsidRDefault="002C2B44" w:rsidP="00942186">
      <w:pPr>
        <w:spacing w:line="276" w:lineRule="auto"/>
        <w:ind w:left="142" w:hanging="142"/>
        <w:rPr>
          <w:rFonts w:cs="Arial"/>
        </w:rPr>
      </w:pPr>
      <w:r>
        <w:rPr>
          <w:rFonts w:eastAsia="Arial" w:cs="Arial"/>
        </w:rPr>
        <w:t>11)</w:t>
      </w:r>
      <w:r w:rsidRPr="002C2B44">
        <w:t xml:space="preserve"> </w:t>
      </w:r>
      <w:r w:rsidR="00931D7E" w:rsidRPr="00931D7E">
        <w:tab/>
        <w:t>Oświadczenia wskazane przez MJWPU (np. o powiązaniach kapitałowo-osobowych, o</w:t>
      </w:r>
      <w:r w:rsidR="00A3652E">
        <w:t> </w:t>
      </w:r>
      <w:r w:rsidR="00931D7E" w:rsidRPr="00931D7E">
        <w:t>nierozliczeniu dokumentów w poprzednich wnioskach, o stosowaniu karty praw podstawowych, zasady DNSH).</w:t>
      </w:r>
    </w:p>
    <w:p w14:paraId="6B0F7004" w14:textId="731798F9" w:rsidR="004C0763" w:rsidRPr="00432FB6" w:rsidRDefault="00FB23B4" w:rsidP="00942186">
      <w:pPr>
        <w:tabs>
          <w:tab w:val="left" w:pos="567"/>
        </w:tabs>
        <w:spacing w:line="276" w:lineRule="auto"/>
        <w:ind w:left="426" w:hanging="426"/>
        <w:rPr>
          <w:rFonts w:cs="Arial"/>
        </w:rPr>
      </w:pPr>
      <w:r>
        <w:rPr>
          <w:rFonts w:cs="Arial"/>
        </w:rPr>
        <w:t>1</w:t>
      </w:r>
      <w:r w:rsidR="002C2B44">
        <w:rPr>
          <w:rFonts w:cs="Arial"/>
        </w:rPr>
        <w:t>2</w:t>
      </w:r>
      <w:r>
        <w:rPr>
          <w:rFonts w:cs="Arial"/>
        </w:rPr>
        <w:t xml:space="preserve">) </w:t>
      </w:r>
      <w:r w:rsidR="73F3BF70" w:rsidRPr="00432FB6">
        <w:rPr>
          <w:rFonts w:cs="Arial"/>
        </w:rPr>
        <w:t>dokument</w:t>
      </w:r>
      <w:r w:rsidR="00A071ED">
        <w:rPr>
          <w:rFonts w:cs="Arial"/>
        </w:rPr>
        <w:t>y</w:t>
      </w:r>
      <w:r w:rsidR="73F3BF70" w:rsidRPr="00432FB6">
        <w:rPr>
          <w:rFonts w:cs="Arial"/>
        </w:rPr>
        <w:t xml:space="preserve"> potwierdzając</w:t>
      </w:r>
      <w:r w:rsidR="00A071ED">
        <w:rPr>
          <w:rFonts w:cs="Arial"/>
        </w:rPr>
        <w:t>e</w:t>
      </w:r>
      <w:r w:rsidR="73F3BF70" w:rsidRPr="00432FB6">
        <w:rPr>
          <w:rFonts w:cs="Arial"/>
        </w:rPr>
        <w:t xml:space="preserve"> prawidłową realizację </w:t>
      </w:r>
      <w:r w:rsidR="0AAEB9D7" w:rsidRPr="00432FB6">
        <w:rPr>
          <w:rFonts w:cs="Arial"/>
        </w:rPr>
        <w:t>P</w:t>
      </w:r>
      <w:r w:rsidR="73F3BF70"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73F3BF70"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0"/>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1"/>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lastRenderedPageBreak/>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2"/>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27DEB6F1" w:rsidR="00073BAA" w:rsidRPr="00F73D7C" w:rsidRDefault="00BF600A" w:rsidP="005E7D2F">
      <w:pPr>
        <w:spacing w:line="276" w:lineRule="auto"/>
        <w:ind w:left="360"/>
        <w:rPr>
          <w:rFonts w:cs="Arial"/>
        </w:rPr>
      </w:pPr>
      <w:r w:rsidRPr="00F73D7C">
        <w:rPr>
          <w:rFonts w:cs="Arial"/>
        </w:rPr>
        <w:lastRenderedPageBreak/>
        <w:t>w wyniku postępowań</w:t>
      </w:r>
      <w:r w:rsidR="001D2B47" w:rsidRPr="00F73D7C">
        <w:rPr>
          <w:rFonts w:cs="Arial"/>
        </w:rPr>
        <w:t xml:space="preserve"> przeprowadzonych zgodnie z wymogami określonymi w</w:t>
      </w:r>
      <w:r w:rsidR="00CE51F3">
        <w:rPr>
          <w:rFonts w:cs="Arial"/>
        </w:rPr>
        <w:t> </w:t>
      </w:r>
      <w:r w:rsidR="001D2B47" w:rsidRPr="00F73D7C">
        <w:rPr>
          <w:rFonts w:cs="Arial"/>
        </w:rPr>
        <w:t xml:space="preserve">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58179EE8" w:rsidR="007F34DB" w:rsidRPr="003B785B" w:rsidRDefault="007F34DB" w:rsidP="00C67E30">
      <w:pPr>
        <w:pStyle w:val="Akapitzlist"/>
        <w:widowControl w:val="0"/>
        <w:numPr>
          <w:ilvl w:val="0"/>
          <w:numId w:val="58"/>
        </w:numPr>
        <w:tabs>
          <w:tab w:val="left" w:pos="142"/>
        </w:tabs>
        <w:adjustRightInd w:val="0"/>
        <w:spacing w:line="276" w:lineRule="auto"/>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 xml:space="preserve">Kartą </w:t>
      </w:r>
      <w:r w:rsidR="001A39C5">
        <w:rPr>
          <w:rFonts w:ascii="Arial" w:hAnsi="Arial" w:cs="Arial"/>
          <w:sz w:val="24"/>
          <w:szCs w:val="24"/>
        </w:rPr>
        <w:t>p</w:t>
      </w:r>
      <w:r w:rsidR="001A39C5" w:rsidRPr="003B785B">
        <w:rPr>
          <w:rFonts w:ascii="Arial" w:hAnsi="Arial" w:cs="Arial"/>
          <w:sz w:val="24"/>
          <w:szCs w:val="24"/>
        </w:rPr>
        <w:t xml:space="preserve">raw </w:t>
      </w:r>
      <w:r w:rsidR="001A39C5">
        <w:rPr>
          <w:rFonts w:ascii="Arial" w:hAnsi="Arial" w:cs="Arial"/>
          <w:sz w:val="24"/>
          <w:szCs w:val="24"/>
        </w:rPr>
        <w:t>p</w:t>
      </w:r>
      <w:r w:rsidR="001A39C5" w:rsidRPr="003B785B">
        <w:rPr>
          <w:rFonts w:ascii="Arial" w:hAnsi="Arial" w:cs="Arial"/>
          <w:sz w:val="24"/>
          <w:szCs w:val="24"/>
        </w:rPr>
        <w:t xml:space="preserve">odstawowych </w:t>
      </w:r>
      <w:r w:rsidRPr="003B785B">
        <w:rPr>
          <w:rFonts w:ascii="Arial" w:hAnsi="Arial" w:cs="Arial"/>
          <w:sz w:val="24"/>
          <w:szCs w:val="24"/>
        </w:rPr>
        <w:t>Unii Europejskiej</w:t>
      </w:r>
      <w:r w:rsidR="00697080">
        <w:rPr>
          <w:rFonts w:ascii="Arial" w:hAnsi="Arial" w:cs="Arial"/>
          <w:sz w:val="24"/>
          <w:szCs w:val="24"/>
        </w:rPr>
        <w:t>, Konwencją ONZ o</w:t>
      </w:r>
      <w:r w:rsidR="001F1A39">
        <w:rPr>
          <w:rFonts w:ascii="Arial" w:hAnsi="Arial" w:cs="Arial"/>
          <w:sz w:val="24"/>
          <w:szCs w:val="24"/>
        </w:rPr>
        <w:t> </w:t>
      </w:r>
      <w:r w:rsidR="001A39C5">
        <w:rPr>
          <w:rFonts w:ascii="Arial" w:hAnsi="Arial" w:cs="Arial"/>
          <w:sz w:val="24"/>
          <w:szCs w:val="24"/>
        </w:rPr>
        <w:t>prawach osób niepełnosprawnych</w:t>
      </w:r>
      <w:r w:rsidR="001A39C5" w:rsidRPr="003B785B">
        <w:rPr>
          <w:rFonts w:ascii="Arial" w:hAnsi="Arial" w:cs="Arial"/>
          <w:sz w:val="24"/>
          <w:szCs w:val="24"/>
        </w:rPr>
        <w:t xml:space="preserve"> </w:t>
      </w:r>
      <w:r w:rsidRPr="003B785B">
        <w:rPr>
          <w:rFonts w:ascii="Arial" w:hAnsi="Arial" w:cs="Arial"/>
          <w:sz w:val="24"/>
          <w:szCs w:val="24"/>
        </w:rPr>
        <w:t>i art. 9 Rozporządzenia 2021/1060, 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61D013C" w:rsidR="007F34DB" w:rsidRDefault="007F34DB" w:rsidP="00C67E30">
      <w:pPr>
        <w:pStyle w:val="Akapitzlist"/>
        <w:widowControl w:val="0"/>
        <w:numPr>
          <w:ilvl w:val="0"/>
          <w:numId w:val="58"/>
        </w:numPr>
        <w:adjustRightInd w:val="0"/>
        <w:spacing w:line="276" w:lineRule="auto"/>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w:t>
      </w:r>
      <w:r w:rsidR="00CE51F3">
        <w:rPr>
          <w:rFonts w:ascii="Arial" w:hAnsi="Arial" w:cs="Arial"/>
          <w:sz w:val="24"/>
          <w:szCs w:val="24"/>
        </w:rPr>
        <w:t> </w:t>
      </w:r>
      <w:r w:rsidR="00111414" w:rsidRPr="003B785B">
        <w:rPr>
          <w:rFonts w:ascii="Arial" w:hAnsi="Arial" w:cs="Arial"/>
          <w:sz w:val="24"/>
          <w:szCs w:val="24"/>
        </w:rPr>
        <w:t>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4513E7CD" w:rsidR="007F34DB" w:rsidRPr="003B785B" w:rsidRDefault="007F34DB" w:rsidP="00C67E30">
      <w:pPr>
        <w:pStyle w:val="Akapitzlist"/>
        <w:widowControl w:val="0"/>
        <w:numPr>
          <w:ilvl w:val="0"/>
          <w:numId w:val="58"/>
        </w:numPr>
        <w:tabs>
          <w:tab w:val="left" w:pos="142"/>
          <w:tab w:val="left" w:pos="426"/>
        </w:tabs>
        <w:adjustRightInd w:val="0"/>
        <w:spacing w:line="276" w:lineRule="auto"/>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stwierdzenia naruszenia przez Beneficjenta art. 9 ust. 3 Rozporządzenia 2021/1060, w szczególności Zasad równości szans i niedyskryminacji, a także równości kobiet i mężczyzn, Instytucja Pośrednicząca dokonuje korekty finansowej. W</w:t>
      </w:r>
      <w:r w:rsidR="00CE51F3">
        <w:rPr>
          <w:rFonts w:ascii="Arial" w:hAnsi="Arial" w:cs="Arial"/>
          <w:sz w:val="24"/>
          <w:szCs w:val="24"/>
        </w:rPr>
        <w:t> </w:t>
      </w:r>
      <w:r w:rsidRPr="003B785B">
        <w:rPr>
          <w:rFonts w:ascii="Arial" w:hAnsi="Arial" w:cs="Arial"/>
          <w:sz w:val="24"/>
          <w:szCs w:val="24"/>
        </w:rPr>
        <w:t xml:space="preserve">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5C81E4C0" w:rsidR="007F34DB" w:rsidRPr="003B785B" w:rsidRDefault="007F34DB" w:rsidP="00C67E30">
      <w:pPr>
        <w:pStyle w:val="Akapitzlist"/>
        <w:widowControl w:val="0"/>
        <w:numPr>
          <w:ilvl w:val="0"/>
          <w:numId w:val="58"/>
        </w:numPr>
        <w:tabs>
          <w:tab w:val="left" w:pos="426"/>
        </w:tabs>
        <w:adjustRightInd w:val="0"/>
        <w:spacing w:line="276" w:lineRule="auto"/>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00CE51F3" w:rsidRPr="003B785B">
        <w:rPr>
          <w:rFonts w:ascii="Arial" w:hAnsi="Arial" w:cs="Arial"/>
          <w:sz w:val="24"/>
          <w:szCs w:val="24"/>
        </w:rPr>
        <w:t>podj</w:t>
      </w:r>
      <w:r w:rsidR="00CE51F3">
        <w:rPr>
          <w:rFonts w:ascii="Arial" w:hAnsi="Arial" w:cs="Arial"/>
          <w:sz w:val="24"/>
          <w:szCs w:val="24"/>
        </w:rPr>
        <w:t xml:space="preserve">ęli </w:t>
      </w:r>
      <w:r w:rsidRPr="003B785B">
        <w:rPr>
          <w:rFonts w:ascii="Arial" w:hAnsi="Arial" w:cs="Arial"/>
          <w:sz w:val="24"/>
          <w:szCs w:val="24"/>
        </w:rPr>
        <w:t>działania dyskryminujące, a</w:t>
      </w:r>
      <w:r w:rsidR="00CE51F3">
        <w:rPr>
          <w:rFonts w:ascii="Arial" w:hAnsi="Arial" w:cs="Arial"/>
          <w:sz w:val="24"/>
          <w:szCs w:val="24"/>
        </w:rPr>
        <w:t> </w:t>
      </w:r>
      <w:r w:rsidRPr="003B785B">
        <w:rPr>
          <w:rFonts w:ascii="Arial" w:hAnsi="Arial" w:cs="Arial"/>
          <w:sz w:val="24"/>
          <w:szCs w:val="24"/>
        </w:rPr>
        <w:t xml:space="preserve">następnie </w:t>
      </w:r>
      <w:r w:rsidR="00CE51F3" w:rsidRPr="003B785B">
        <w:rPr>
          <w:rFonts w:ascii="Arial" w:hAnsi="Arial" w:cs="Arial"/>
          <w:sz w:val="24"/>
          <w:szCs w:val="24"/>
        </w:rPr>
        <w:t>podj</w:t>
      </w:r>
      <w:r w:rsidR="00CE51F3">
        <w:rPr>
          <w:rFonts w:ascii="Arial" w:hAnsi="Arial" w:cs="Arial"/>
          <w:sz w:val="24"/>
          <w:szCs w:val="24"/>
        </w:rPr>
        <w:t>ęli</w:t>
      </w:r>
      <w:r w:rsidR="00CE51F3" w:rsidRPr="003B785B">
        <w:rPr>
          <w:rFonts w:ascii="Arial" w:hAnsi="Arial" w:cs="Arial"/>
          <w:sz w:val="24"/>
          <w:szCs w:val="24"/>
        </w:rPr>
        <w:t xml:space="preserve"> </w:t>
      </w:r>
      <w:r w:rsidRPr="003B785B">
        <w:rPr>
          <w:rFonts w:ascii="Arial" w:hAnsi="Arial" w:cs="Arial"/>
          <w:sz w:val="24"/>
          <w:szCs w:val="24"/>
        </w:rPr>
        <w:t xml:space="preserve">skuteczne działania naprawcze uznaje się, że nie doszło do naruszenia zasady niedyskryminacji. </w:t>
      </w:r>
    </w:p>
    <w:p w14:paraId="10FF2748" w14:textId="77777777"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7E317575"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o</w:t>
      </w:r>
      <w:r w:rsidR="0029196D">
        <w:rPr>
          <w:rFonts w:ascii="Arial" w:hAnsi="Arial" w:cs="Arial"/>
          <w:sz w:val="24"/>
          <w:szCs w:val="24"/>
        </w:rPr>
        <w:t> </w:t>
      </w:r>
      <w:r w:rsidRPr="003B785B">
        <w:rPr>
          <w:rFonts w:ascii="Arial" w:hAnsi="Arial" w:cs="Arial"/>
          <w:sz w:val="24"/>
          <w:szCs w:val="24"/>
        </w:rPr>
        <w:t xml:space="preserve">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lastRenderedPageBreak/>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3"/>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57BFD1B3"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przepisami prawa krajowego i unijnego, w</w:t>
      </w:r>
      <w:r w:rsidR="0029196D">
        <w:rPr>
          <w:rFonts w:ascii="Arial" w:hAnsi="Arial" w:cs="Arial"/>
          <w:spacing w:val="-8"/>
          <w:sz w:val="24"/>
          <w:szCs w:val="24"/>
        </w:rPr>
        <w:t> </w:t>
      </w:r>
      <w:r w:rsidRPr="00F73D7C">
        <w:rPr>
          <w:rFonts w:ascii="Arial" w:hAnsi="Arial" w:cs="Arial"/>
          <w:spacing w:val="-8"/>
          <w:sz w:val="24"/>
          <w:szCs w:val="24"/>
        </w:rPr>
        <w:t xml:space="preserve">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205C27">
        <w:rPr>
          <w:rFonts w:ascii="Arial" w:hAnsi="Arial" w:cs="Arial"/>
          <w:sz w:val="24"/>
          <w:szCs w:val="24"/>
        </w:rPr>
        <w:t>2024</w:t>
      </w:r>
      <w:r w:rsidR="00205C27"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205C27">
        <w:rPr>
          <w:rFonts w:ascii="Arial" w:hAnsi="Arial" w:cs="Arial"/>
          <w:sz w:val="24"/>
          <w:szCs w:val="24"/>
        </w:rPr>
        <w:t>1320</w:t>
      </w:r>
      <w:r w:rsidR="19B80EDC" w:rsidRPr="00F73D7C">
        <w:rPr>
          <w:rFonts w:ascii="Arial" w:hAnsi="Arial" w:cs="Arial"/>
          <w:sz w:val="24"/>
          <w:szCs w:val="24"/>
        </w:rPr>
        <w:t>)</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4"/>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t>
      </w:r>
      <w:r w:rsidR="000F281D">
        <w:rPr>
          <w:rFonts w:cs="Arial"/>
        </w:rPr>
        <w:lastRenderedPageBreak/>
        <w:t>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1874962A"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29196D" w:rsidRPr="00F73D7C">
        <w:rPr>
          <w:rFonts w:cs="Arial"/>
        </w:rPr>
        <w:t>202</w:t>
      </w:r>
      <w:r w:rsidR="0029196D">
        <w:rPr>
          <w:rFonts w:cs="Arial"/>
        </w:rPr>
        <w:t>4</w:t>
      </w:r>
      <w:r w:rsidR="0029196D"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29196D">
        <w:rPr>
          <w:rFonts w:cs="Arial"/>
        </w:rPr>
        <w:t>236</w:t>
      </w:r>
      <w:r w:rsidR="00D8575A">
        <w:rPr>
          <w:rFonts w:cs="Arial"/>
        </w:rPr>
        <w:t xml:space="preserve"> z późn.zm.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865050">
      <w:pPr>
        <w:numPr>
          <w:ilvl w:val="0"/>
          <w:numId w:val="29"/>
        </w:numPr>
        <w:tabs>
          <w:tab w:val="left" w:pos="426"/>
        </w:tabs>
        <w:autoSpaceDE w:val="0"/>
        <w:autoSpaceDN w:val="0"/>
        <w:adjustRightInd w:val="0"/>
        <w:spacing w:line="276" w:lineRule="auto"/>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865050">
      <w:pPr>
        <w:numPr>
          <w:ilvl w:val="1"/>
          <w:numId w:val="29"/>
        </w:numPr>
        <w:tabs>
          <w:tab w:val="clear" w:pos="1440"/>
          <w:tab w:val="left" w:pos="426"/>
          <w:tab w:val="num" w:pos="851"/>
        </w:tabs>
        <w:autoSpaceDE w:val="0"/>
        <w:autoSpaceDN w:val="0"/>
        <w:adjustRightInd w:val="0"/>
        <w:spacing w:line="276" w:lineRule="auto"/>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865050">
      <w:pPr>
        <w:numPr>
          <w:ilvl w:val="1"/>
          <w:numId w:val="29"/>
        </w:numPr>
        <w:tabs>
          <w:tab w:val="clear" w:pos="1440"/>
          <w:tab w:val="left" w:pos="426"/>
          <w:tab w:val="num" w:pos="851"/>
        </w:tabs>
        <w:autoSpaceDE w:val="0"/>
        <w:autoSpaceDN w:val="0"/>
        <w:adjustRightInd w:val="0"/>
        <w:spacing w:line="276" w:lineRule="auto"/>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5"/>
      </w:r>
      <w:r w:rsidR="004063F6" w:rsidRPr="00F73D7C">
        <w:rPr>
          <w:rFonts w:cs="Arial"/>
          <w:vertAlign w:val="superscript"/>
        </w:rPr>
        <w:t>)</w:t>
      </w:r>
      <w:r w:rsidR="00B2525F" w:rsidRPr="00F73D7C">
        <w:rPr>
          <w:rFonts w:cs="Arial"/>
        </w:rPr>
        <w:t>: ...................................................................................................................................</w:t>
      </w:r>
      <w:r w:rsidR="004C1128" w:rsidRPr="00F73D7C">
        <w:rPr>
          <w:rFonts w:cs="Arial"/>
        </w:rPr>
        <w:t>.</w:t>
      </w:r>
    </w:p>
    <w:p w14:paraId="5E15A8B1" w14:textId="03D71CAE" w:rsidR="00B2525F" w:rsidRPr="00F73D7C" w:rsidRDefault="00B2525F" w:rsidP="00865050">
      <w:pPr>
        <w:numPr>
          <w:ilvl w:val="0"/>
          <w:numId w:val="29"/>
        </w:numPr>
        <w:tabs>
          <w:tab w:val="left" w:pos="426"/>
        </w:tabs>
        <w:autoSpaceDE w:val="0"/>
        <w:autoSpaceDN w:val="0"/>
        <w:adjustRightInd w:val="0"/>
        <w:spacing w:line="276" w:lineRule="auto"/>
        <w:rPr>
          <w:rFonts w:cs="Arial"/>
        </w:rPr>
      </w:pPr>
      <w:r w:rsidRPr="00F73D7C">
        <w:rPr>
          <w:rFonts w:cs="Arial"/>
        </w:rPr>
        <w:t>Wszystkie płatności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w:t>
      </w:r>
      <w:r w:rsidR="00C67E30">
        <w:rPr>
          <w:rFonts w:cs="Arial"/>
        </w:rPr>
        <w:t> </w:t>
      </w:r>
      <w:r w:rsidRPr="00F73D7C">
        <w:rPr>
          <w:rFonts w:cs="Arial"/>
        </w:rPr>
        <w:t>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6"/>
      </w:r>
      <w:r w:rsidR="004063F6" w:rsidRPr="00F73D7C">
        <w:rPr>
          <w:rFonts w:cs="Arial"/>
          <w:vertAlign w:val="superscript"/>
        </w:rPr>
        <w:t>)</w:t>
      </w:r>
      <w:r w:rsidRPr="00F73D7C">
        <w:rPr>
          <w:rFonts w:cs="Arial"/>
        </w:rPr>
        <w:t>.</w:t>
      </w:r>
    </w:p>
    <w:p w14:paraId="7FF58030" w14:textId="7E1F6166" w:rsidR="00B2525F" w:rsidRPr="00F73D7C" w:rsidRDefault="00B2525F" w:rsidP="00865050">
      <w:pPr>
        <w:numPr>
          <w:ilvl w:val="0"/>
          <w:numId w:val="29"/>
        </w:numPr>
        <w:tabs>
          <w:tab w:val="left" w:pos="426"/>
        </w:tabs>
        <w:autoSpaceDE w:val="0"/>
        <w:autoSpaceDN w:val="0"/>
        <w:adjustRightInd w:val="0"/>
        <w:spacing w:line="276" w:lineRule="auto"/>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865050">
      <w:pPr>
        <w:numPr>
          <w:ilvl w:val="1"/>
          <w:numId w:val="14"/>
        </w:numPr>
        <w:tabs>
          <w:tab w:val="clear" w:pos="720"/>
          <w:tab w:val="num" w:pos="851"/>
        </w:tabs>
        <w:autoSpaceDE w:val="0"/>
        <w:autoSpaceDN w:val="0"/>
        <w:adjustRightInd w:val="0"/>
        <w:spacing w:line="276" w:lineRule="auto"/>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7"/>
      </w:r>
      <w:r w:rsidR="004063F6" w:rsidRPr="00F73D7C">
        <w:rPr>
          <w:rFonts w:cs="Arial"/>
          <w:vertAlign w:val="superscript"/>
        </w:rPr>
        <w:t>)</w:t>
      </w:r>
      <w:r w:rsidRPr="00F73D7C">
        <w:rPr>
          <w:rFonts w:cs="Arial"/>
        </w:rPr>
        <w:t>;</w:t>
      </w:r>
    </w:p>
    <w:p w14:paraId="37B3D543" w14:textId="750C9C9C" w:rsidR="00B9594A" w:rsidRPr="00F73D7C" w:rsidRDefault="41C74316" w:rsidP="00865050">
      <w:pPr>
        <w:numPr>
          <w:ilvl w:val="1"/>
          <w:numId w:val="14"/>
        </w:numPr>
        <w:tabs>
          <w:tab w:val="clear" w:pos="720"/>
          <w:tab w:val="num" w:pos="851"/>
        </w:tabs>
        <w:autoSpaceDE w:val="0"/>
        <w:autoSpaceDN w:val="0"/>
        <w:adjustRightInd w:val="0"/>
        <w:spacing w:line="276" w:lineRule="auto"/>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lastRenderedPageBreak/>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8"/>
      </w:r>
      <w:r w:rsidR="40C13E8D" w:rsidRPr="00F73D7C">
        <w:rPr>
          <w:rFonts w:cs="Arial"/>
          <w:vertAlign w:val="superscript"/>
        </w:rPr>
        <w:t>)</w:t>
      </w:r>
      <w:r w:rsidR="4BC8316C" w:rsidRPr="00F73D7C">
        <w:rPr>
          <w:rFonts w:cs="Arial"/>
        </w:rPr>
        <w:t>;</w:t>
      </w:r>
    </w:p>
    <w:p w14:paraId="0F548853" w14:textId="2A6F7C1B"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posiadanie przez Beneficjenta oraz podmioty realizujące Projekt w jego imieniu i</w:t>
      </w:r>
      <w:r w:rsidR="00F43725">
        <w:rPr>
          <w:rFonts w:cs="Arial"/>
        </w:rPr>
        <w:t> </w:t>
      </w:r>
      <w:r w:rsidRPr="00F73D7C">
        <w:rPr>
          <w:rFonts w:cs="Arial"/>
        </w:rPr>
        <w:t xml:space="preserve">Partnerów </w:t>
      </w:r>
      <w:r w:rsidR="00AA1DAF" w:rsidRPr="00F73D7C">
        <w:rPr>
          <w:rFonts w:cs="Arial"/>
        </w:rPr>
        <w:t>wyodrębnionego</w:t>
      </w:r>
      <w:r w:rsidRPr="00F73D7C">
        <w:rPr>
          <w:rFonts w:cs="Arial"/>
        </w:rPr>
        <w:t>/ych dla Projektu rachunku/ów bankowego/ych i</w:t>
      </w:r>
      <w:r w:rsidR="00F43725">
        <w:rPr>
          <w:rFonts w:cs="Arial"/>
        </w:rPr>
        <w:t> </w:t>
      </w:r>
      <w:r w:rsidRPr="00F73D7C">
        <w:rPr>
          <w:rFonts w:cs="Arial"/>
        </w:rPr>
        <w:t>przedstawienie do MJWPU zaświadczenia z banku o posiadaniu takich rachunków;</w:t>
      </w:r>
    </w:p>
    <w:p w14:paraId="38FE9FC9" w14:textId="0A123DB7"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865050">
      <w:pPr>
        <w:numPr>
          <w:ilvl w:val="0"/>
          <w:numId w:val="29"/>
        </w:numPr>
        <w:autoSpaceDE w:val="0"/>
        <w:autoSpaceDN w:val="0"/>
        <w:adjustRightInd w:val="0"/>
        <w:spacing w:line="276" w:lineRule="auto"/>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29"/>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0"/>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1"/>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2"/>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11F8EFE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takiej wysokości kosztów pośrednich, obliczonych na podstawie poniesionych, udokumentowanych i zatwierdzonych w</w:t>
      </w:r>
      <w:r w:rsidR="00F43725">
        <w:rPr>
          <w:rFonts w:eastAsia="Calibri" w:cs="Arial"/>
          <w:lang w:eastAsia="en-US"/>
        </w:rPr>
        <w:t> </w:t>
      </w:r>
      <w:r w:rsidRPr="0830E6A0">
        <w:rPr>
          <w:rFonts w:eastAsia="Calibri" w:cs="Arial"/>
          <w:lang w:eastAsia="en-US"/>
        </w:rPr>
        <w:t xml:space="preserve">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2D674100"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lastRenderedPageBreak/>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3"/>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 xml:space="preserve">w terminie lub niezwrócenie niewykorzystanej części zaliczki, skutkuje naliczeniem, od środków pozostałych do </w:t>
      </w:r>
      <w:r w:rsidR="009F11E3" w:rsidRPr="00F73D7C">
        <w:rPr>
          <w:rFonts w:cs="Arial"/>
        </w:rPr>
        <w:lastRenderedPageBreak/>
        <w:t>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4"/>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5"/>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6"/>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lastRenderedPageBreak/>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7"/>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lastRenderedPageBreak/>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FA4CC8">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8"/>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FA4CC8">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C67E30">
      <w:pPr>
        <w:pStyle w:val="Nagwek2"/>
        <w:spacing w:line="276" w:lineRule="auto"/>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C67E30">
      <w:pPr>
        <w:numPr>
          <w:ilvl w:val="0"/>
          <w:numId w:val="37"/>
        </w:numPr>
        <w:tabs>
          <w:tab w:val="clear" w:pos="720"/>
          <w:tab w:val="num" w:pos="426"/>
        </w:tabs>
        <w:spacing w:line="276" w:lineRule="auto"/>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lastRenderedPageBreak/>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C67E30">
      <w:pPr>
        <w:numPr>
          <w:ilvl w:val="0"/>
          <w:numId w:val="37"/>
        </w:numPr>
        <w:tabs>
          <w:tab w:val="clear" w:pos="720"/>
          <w:tab w:val="num" w:pos="426"/>
        </w:tabs>
        <w:spacing w:line="276" w:lineRule="auto"/>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39"/>
      </w:r>
      <w:r w:rsidR="22984655" w:rsidRPr="00F73D7C">
        <w:rPr>
          <w:rFonts w:cs="Arial"/>
          <w:vertAlign w:val="superscript"/>
        </w:rPr>
        <w:t>)</w:t>
      </w:r>
      <w:r w:rsidR="77FAAE8D" w:rsidRPr="00F73D7C">
        <w:rPr>
          <w:rFonts w:cs="Arial"/>
        </w:rPr>
        <w:t>.</w:t>
      </w:r>
    </w:p>
    <w:p w14:paraId="7D6787AD" w14:textId="248DAF32" w:rsidR="00B2525F" w:rsidRPr="00F73D7C" w:rsidRDefault="7A3C4423" w:rsidP="00C67E30">
      <w:pPr>
        <w:numPr>
          <w:ilvl w:val="0"/>
          <w:numId w:val="37"/>
        </w:numPr>
        <w:tabs>
          <w:tab w:val="clear" w:pos="720"/>
          <w:tab w:val="num" w:pos="426"/>
        </w:tabs>
        <w:spacing w:line="276" w:lineRule="auto"/>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C67E30">
      <w:pPr>
        <w:numPr>
          <w:ilvl w:val="0"/>
          <w:numId w:val="31"/>
        </w:numPr>
        <w:tabs>
          <w:tab w:val="clear" w:pos="360"/>
        </w:tabs>
        <w:autoSpaceDE w:val="0"/>
        <w:autoSpaceDN w:val="0"/>
        <w:adjustRightInd w:val="0"/>
        <w:spacing w:line="276" w:lineRule="auto"/>
        <w:rPr>
          <w:rFonts w:cs="Arial"/>
        </w:rPr>
      </w:pPr>
      <w:r w:rsidRPr="00F73D7C">
        <w:rPr>
          <w:rFonts w:cs="Arial"/>
        </w:rPr>
        <w:t>W terminie 30 dni od dnia zawarcia Umowy</w:t>
      </w:r>
      <w:r w:rsidR="00B2525F" w:rsidRPr="00F73D7C">
        <w:rPr>
          <w:rStyle w:val="Odwoanieprzypisudolnego"/>
          <w:rFonts w:cs="Arial"/>
        </w:rPr>
        <w:footnoteReference w:id="40"/>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p>
    <w:p w14:paraId="0F68E103" w14:textId="4781424A"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r w:rsidR="00795051">
        <w:rPr>
          <w:rFonts w:cs="Arial"/>
        </w:rPr>
        <w:t>…</w:t>
      </w:r>
    </w:p>
    <w:p w14:paraId="458CE630" w14:textId="636B0A7F" w:rsidR="00B2525F" w:rsidRPr="00F73D7C" w:rsidRDefault="4ED53FCF" w:rsidP="00C67E30">
      <w:pPr>
        <w:numPr>
          <w:ilvl w:val="0"/>
          <w:numId w:val="31"/>
        </w:numPr>
        <w:autoSpaceDE w:val="0"/>
        <w:autoSpaceDN w:val="0"/>
        <w:adjustRightInd w:val="0"/>
        <w:spacing w:line="276" w:lineRule="auto"/>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C67E30">
      <w:pPr>
        <w:numPr>
          <w:ilvl w:val="0"/>
          <w:numId w:val="31"/>
        </w:numPr>
        <w:autoSpaceDE w:val="0"/>
        <w:autoSpaceDN w:val="0"/>
        <w:adjustRightInd w:val="0"/>
        <w:spacing w:line="276" w:lineRule="auto"/>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w:t>
      </w:r>
      <w:r w:rsidRPr="004B6E4B">
        <w:rPr>
          <w:rFonts w:cs="Arial"/>
        </w:rPr>
        <w:lastRenderedPageBreak/>
        <w:t xml:space="preserve">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C67E30">
      <w:pPr>
        <w:pStyle w:val="Nagwek2"/>
        <w:spacing w:after="120" w:line="276" w:lineRule="auto"/>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71A23690"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wynikających z</w:t>
      </w:r>
      <w:r w:rsidR="00C67E30">
        <w:rPr>
          <w:rFonts w:cs="Arial"/>
        </w:rPr>
        <w:t>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lastRenderedPageBreak/>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w:t>
      </w:r>
      <w:r w:rsidR="00AE4B69" w:rsidRPr="772432C3">
        <w:rPr>
          <w:rFonts w:cs="Arial"/>
        </w:rPr>
        <w:t>202</w:t>
      </w:r>
      <w:r w:rsidR="00AE4B69">
        <w:rPr>
          <w:rFonts w:cs="Arial"/>
        </w:rPr>
        <w:t>4</w:t>
      </w:r>
      <w:r w:rsidR="00AE4B69" w:rsidRPr="772432C3">
        <w:rPr>
          <w:rFonts w:cs="Arial"/>
        </w:rPr>
        <w:t xml:space="preserve"> </w:t>
      </w:r>
      <w:r w:rsidR="74EBA994" w:rsidRPr="772432C3">
        <w:rPr>
          <w:rFonts w:cs="Arial"/>
        </w:rPr>
        <w:t xml:space="preserve">r. poz. </w:t>
      </w:r>
      <w:r w:rsidR="00AE4B69">
        <w:rPr>
          <w:rFonts w:cs="Arial"/>
        </w:rPr>
        <w:t>104</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75DA3DFA"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dotyczą również Partnera realizującego Projekt w zakresie tej jego części, za realizację której jest odpowiedzialny zgodnie z</w:t>
      </w:r>
      <w:r w:rsidR="00AE4B69">
        <w:rPr>
          <w:rFonts w:cs="Arial"/>
        </w:rPr>
        <w:t>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2"/>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508890A9"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i promocyjnych, w tym informowania społeczeństwa o dofinansowaniu projektu przez Unię Europejską, zgodnie z Rozporządzeniem 2021/1060 (w szczególności z</w:t>
      </w:r>
      <w:r w:rsidR="00AE4B69">
        <w:rPr>
          <w:rFonts w:cs="Arial"/>
          <w:spacing w:val="2"/>
        </w:rPr>
        <w:t> </w:t>
      </w:r>
      <w:r w:rsidR="00DF4C3D" w:rsidRPr="008B3303">
        <w:rPr>
          <w:rFonts w:cs="Arial"/>
          <w:spacing w:val="2"/>
        </w:rPr>
        <w:t xml:space="preserve">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 xml:space="preserve">projektów wspieranych z Europejskiego </w:t>
      </w:r>
      <w:r w:rsidRPr="004A7FCF">
        <w:rPr>
          <w:rFonts w:eastAsia="Calibri" w:cs="Arial"/>
          <w:lang w:eastAsia="en-US"/>
        </w:rPr>
        <w:lastRenderedPageBreak/>
        <w:t>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3"/>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235B93BE"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4"/>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5"/>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lastRenderedPageBreak/>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7"/>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4DC9AB0"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w:t>
      </w:r>
      <w:r w:rsidR="00641893">
        <w:rPr>
          <w:rFonts w:eastAsia="Calibri" w:cs="Arial"/>
          <w:lang w:eastAsia="en-US" w:bidi="pl-PL"/>
        </w:rPr>
        <w:t> </w:t>
      </w:r>
      <w:r w:rsidRPr="00F73D7C">
        <w:rPr>
          <w:rFonts w:eastAsia="Calibri" w:cs="Arial"/>
          <w:lang w:eastAsia="en-US" w:bidi="pl-PL"/>
        </w:rPr>
        <w:t>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49"/>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0CAED975"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00AE4B69">
        <w:rPr>
          <w:rFonts w:eastAsia="Calibri" w:cs="Arial"/>
          <w:lang w:eastAsia="en-US"/>
        </w:rPr>
        <w:t>d</w:t>
      </w:r>
      <w:r w:rsidR="00AE4B69" w:rsidRPr="00D766AA">
        <w:rPr>
          <w:rFonts w:eastAsia="Calibri" w:cs="Arial"/>
          <w:lang w:eastAsia="en-US"/>
        </w:rPr>
        <w:t xml:space="preserve"> </w:t>
      </w:r>
      <w:r w:rsidRPr="00D766AA">
        <w:rPr>
          <w:rFonts w:eastAsia="Calibri" w:cs="Arial"/>
          <w:lang w:eastAsia="en-US"/>
        </w:rPr>
        <w:t>oraz pkt 2-</w:t>
      </w:r>
      <w:r w:rsidR="00AE4B69">
        <w:rPr>
          <w:rFonts w:eastAsia="Calibri" w:cs="Arial"/>
          <w:lang w:eastAsia="en-US"/>
        </w:rPr>
        <w:t>6</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Jeżeli w wyniku pomniejszenia dofina</w:t>
      </w:r>
      <w:r w:rsidR="00781346">
        <w:rPr>
          <w:rFonts w:eastAsia="Calibri" w:cs="Arial"/>
          <w:lang w:eastAsia="en-US"/>
        </w:rPr>
        <w:t>n</w:t>
      </w:r>
      <w:r w:rsidRPr="5EAAFBE3">
        <w:rPr>
          <w:rFonts w:eastAsia="Calibri" w:cs="Arial"/>
          <w:lang w:eastAsia="en-US"/>
        </w:rPr>
        <w:t xml:space="preserve">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25DE40BA"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004A4064">
        <w:rPr>
          <w:rFonts w:eastAsia="Calibri" w:cs="Arial"/>
          <w:lang w:eastAsia="en-US"/>
        </w:rPr>
        <w:t xml:space="preserve"> z późn.zm.</w:t>
      </w:r>
      <w:r w:rsidRPr="5EAAFBE3">
        <w:rPr>
          <w:rFonts w:eastAsia="Calibri" w:cs="Arial"/>
          <w:lang w:eastAsia="en-US"/>
        </w:rPr>
        <w:t>), związanych z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multimedialn</w:t>
      </w:r>
      <w:r w:rsidR="00C25280">
        <w:rPr>
          <w:rFonts w:eastAsia="Calibri" w:cs="Arial"/>
          <w:lang w:eastAsia="en-US"/>
        </w:rPr>
        <w:t>ych</w:t>
      </w:r>
      <w:r w:rsidR="00DD2B2C">
        <w:rPr>
          <w:rFonts w:eastAsia="Calibri" w:cs="Arial"/>
          <w:lang w:eastAsia="en-US"/>
        </w:rPr>
        <w:t xml:space="preserve">, </w:t>
      </w:r>
      <w:r w:rsidR="00C25280">
        <w:rPr>
          <w:rFonts w:eastAsia="Calibri" w:cs="Arial"/>
          <w:lang w:eastAsia="en-US"/>
        </w:rPr>
        <w:t xml:space="preserve">utworów </w:t>
      </w:r>
      <w:r w:rsidR="00DD2B2C">
        <w:rPr>
          <w:rFonts w:eastAsia="Calibri" w:cs="Arial"/>
          <w:lang w:eastAsia="en-US"/>
        </w:rPr>
        <w:t>itp.</w:t>
      </w:r>
      <w:r w:rsidRPr="5EAAFBE3">
        <w:rPr>
          <w:rFonts w:eastAsia="Calibri" w:cs="Arial"/>
          <w:lang w:eastAsia="en-US"/>
        </w:rPr>
        <w:t xml:space="preserve">), powstałych w ramach Projektu, </w:t>
      </w:r>
      <w:r w:rsidRPr="5EAAFBE3">
        <w:rPr>
          <w:rFonts w:eastAsia="Calibri" w:cs="Arial"/>
          <w:lang w:eastAsia="en-US"/>
        </w:rPr>
        <w:lastRenderedPageBreak/>
        <w:t>Beneficjent zobowiązuje się do uzyskania od tej osoby majątkowych praw autorskich do tych utworów.</w:t>
      </w:r>
    </w:p>
    <w:p w14:paraId="7C96F366" w14:textId="5BBD90E4"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w:t>
      </w:r>
      <w:r w:rsidR="00C25280">
        <w:rPr>
          <w:rFonts w:eastAsia="Calibri" w:cs="Arial"/>
          <w:lang w:eastAsia="en-US"/>
        </w:rPr>
        <w:t xml:space="preserve"> z</w:t>
      </w:r>
      <w:r w:rsidRPr="5EAAFBE3">
        <w:rPr>
          <w:rFonts w:eastAsia="Calibri" w:cs="Arial"/>
          <w:lang w:eastAsia="en-US"/>
        </w:rPr>
        <w:t xml:space="preserve">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w:t>
      </w:r>
      <w:r w:rsidR="00F30A29" w:rsidRPr="5EAAFBE3">
        <w:rPr>
          <w:rFonts w:eastAsia="Calibri" w:cs="Arial"/>
          <w:lang w:eastAsia="en-US"/>
        </w:rPr>
        <w:t>multimedialn</w:t>
      </w:r>
      <w:r w:rsidR="00F30A29">
        <w:rPr>
          <w:rFonts w:eastAsia="Calibri" w:cs="Arial"/>
          <w:lang w:eastAsia="en-US"/>
        </w:rPr>
        <w:t>ych</w:t>
      </w:r>
      <w:r w:rsidR="6C80253E" w:rsidRPr="5EAAFBE3">
        <w:rPr>
          <w:rFonts w:eastAsia="Calibri" w:cs="Arial"/>
          <w:lang w:eastAsia="en-US"/>
        </w:rPr>
        <w:t xml:space="preserve">, </w:t>
      </w:r>
      <w:r w:rsidR="00F30A29" w:rsidRPr="5EAAFBE3">
        <w:rPr>
          <w:rFonts w:eastAsia="Calibri" w:cs="Arial"/>
          <w:lang w:eastAsia="en-US"/>
        </w:rPr>
        <w:t xml:space="preserve">utworów nt. Projektu </w:t>
      </w:r>
      <w:r w:rsidR="6C80253E" w:rsidRPr="5EAAFBE3">
        <w:rPr>
          <w:rFonts w:eastAsia="Calibri" w:cs="Arial"/>
          <w:lang w:eastAsia="en-US"/>
        </w:rPr>
        <w:t>itp.</w:t>
      </w:r>
      <w:r w:rsidRPr="5EAAFBE3">
        <w:rPr>
          <w:rFonts w:eastAsia="Calibri" w:cs="Arial"/>
          <w:lang w:eastAsia="en-US"/>
        </w:rPr>
        <w:t>) powstałych w</w:t>
      </w:r>
      <w:r w:rsidR="00C67E30">
        <w:rPr>
          <w:rFonts w:eastAsia="Calibri" w:cs="Arial"/>
          <w:lang w:eastAsia="en-US"/>
        </w:rPr>
        <w:t> </w:t>
      </w:r>
      <w:r w:rsidRPr="5EAAFBE3">
        <w:rPr>
          <w:rFonts w:eastAsia="Calibri" w:cs="Arial"/>
          <w:lang w:eastAsia="en-US"/>
        </w:rPr>
        <w:t xml:space="preserve">ramach Projektu. </w:t>
      </w:r>
    </w:p>
    <w:p w14:paraId="46048924" w14:textId="76D6B94A"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F30A29" w:rsidRPr="5EAAFBE3">
        <w:rPr>
          <w:rFonts w:eastAsia="Calibri" w:cs="Arial"/>
          <w:lang w:eastAsia="en-US"/>
        </w:rPr>
        <w:t>zdję</w:t>
      </w:r>
      <w:r w:rsidR="00F30A29">
        <w:rPr>
          <w:rFonts w:eastAsia="Calibri" w:cs="Arial"/>
          <w:lang w:eastAsia="en-US"/>
        </w:rPr>
        <w:t>ć</w:t>
      </w:r>
      <w:r w:rsidRPr="5EAAFBE3">
        <w:rPr>
          <w:rFonts w:eastAsia="Calibri" w:cs="Arial"/>
          <w:lang w:eastAsia="en-US"/>
        </w:rPr>
        <w:t xml:space="preserve">, </w:t>
      </w:r>
      <w:r w:rsidR="00F30A29" w:rsidRPr="5EAAFBE3">
        <w:rPr>
          <w:rFonts w:eastAsia="Calibri" w:cs="Arial"/>
          <w:lang w:eastAsia="en-US"/>
        </w:rPr>
        <w:t>film</w:t>
      </w:r>
      <w:r w:rsidR="00F30A29">
        <w:rPr>
          <w:rFonts w:eastAsia="Calibri" w:cs="Arial"/>
          <w:lang w:eastAsia="en-US"/>
        </w:rPr>
        <w:t>ów</w:t>
      </w:r>
      <w:r w:rsidRPr="5EAAFBE3">
        <w:rPr>
          <w:rFonts w:eastAsia="Calibri" w:cs="Arial"/>
          <w:lang w:eastAsia="en-US"/>
        </w:rPr>
        <w:t xml:space="preserve">, broszur, </w:t>
      </w:r>
      <w:r w:rsidR="00F30A29" w:rsidRPr="5EAAFBE3">
        <w:rPr>
          <w:rFonts w:eastAsia="Calibri" w:cs="Arial"/>
          <w:lang w:eastAsia="en-US"/>
        </w:rPr>
        <w:t>ulot</w:t>
      </w:r>
      <w:r w:rsidR="00F30A29">
        <w:rPr>
          <w:rFonts w:eastAsia="Calibri" w:cs="Arial"/>
          <w:lang w:eastAsia="en-US"/>
        </w:rPr>
        <w:t>ek</w:t>
      </w:r>
      <w:r w:rsidRPr="5EAAFBE3">
        <w:rPr>
          <w:rFonts w:eastAsia="Calibri" w:cs="Arial"/>
          <w:lang w:eastAsia="en-US"/>
        </w:rPr>
        <w:t xml:space="preserve">, </w:t>
      </w:r>
      <w:r w:rsidR="00F30A29" w:rsidRPr="5EAAFBE3">
        <w:rPr>
          <w:rFonts w:eastAsia="Calibri" w:cs="Arial"/>
          <w:lang w:eastAsia="en-US"/>
        </w:rPr>
        <w:t>prezentacj</w:t>
      </w:r>
      <w:r w:rsidR="00F30A29">
        <w:rPr>
          <w:rFonts w:eastAsia="Calibri" w:cs="Arial"/>
          <w:lang w:eastAsia="en-US"/>
        </w:rPr>
        <w:t>i</w:t>
      </w:r>
      <w:r w:rsidR="00F30A29" w:rsidRPr="5EAAFBE3">
        <w:rPr>
          <w:rFonts w:eastAsia="Calibri" w:cs="Arial"/>
          <w:lang w:eastAsia="en-US"/>
        </w:rPr>
        <w:t xml:space="preserve"> multimedialn</w:t>
      </w:r>
      <w:r w:rsidR="00F30A29">
        <w:rPr>
          <w:rFonts w:eastAsia="Calibri" w:cs="Arial"/>
          <w:lang w:eastAsia="en-US"/>
        </w:rPr>
        <w:t>ych</w:t>
      </w:r>
      <w:r w:rsidR="3F899D31" w:rsidRPr="5EAAFBE3">
        <w:rPr>
          <w:rFonts w:eastAsia="Calibri" w:cs="Arial"/>
          <w:lang w:eastAsia="en-US"/>
        </w:rPr>
        <w:t xml:space="preserve">, </w:t>
      </w:r>
      <w:r w:rsidR="00F30A29" w:rsidRPr="5EAAFBE3">
        <w:rPr>
          <w:rFonts w:eastAsia="Calibri" w:cs="Arial"/>
          <w:lang w:eastAsia="en-US"/>
        </w:rPr>
        <w:t xml:space="preserve">utworów nt. Projektu </w:t>
      </w:r>
      <w:r w:rsidR="3F899D31" w:rsidRPr="5EAAFBE3">
        <w:rPr>
          <w:rFonts w:eastAsia="Calibri" w:cs="Arial"/>
          <w:lang w:eastAsia="en-US"/>
        </w:rPr>
        <w:t>itp.</w:t>
      </w:r>
      <w:r w:rsidRPr="5EAAFBE3">
        <w:rPr>
          <w:rFonts w:eastAsia="Calibri" w:cs="Arial"/>
          <w:lang w:eastAsia="en-US"/>
        </w:rPr>
        <w:t>),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0"/>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t>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lastRenderedPageBreak/>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1E59E100"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iu postępów realizacji Projektu, w</w:t>
      </w:r>
      <w:r w:rsidR="00F30A29">
        <w:rPr>
          <w:rFonts w:cs="Arial"/>
        </w:rPr>
        <w:t> </w:t>
      </w:r>
      <w:r w:rsidR="37B07B91" w:rsidRPr="5EAAFBE3">
        <w:rPr>
          <w:rFonts w:cs="Arial"/>
        </w:rPr>
        <w:t xml:space="preserve">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919884D"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w:t>
      </w:r>
      <w:r w:rsidR="00F30A29">
        <w:rPr>
          <w:rFonts w:cs="Arial"/>
        </w:rPr>
        <w:t> </w:t>
      </w:r>
      <w:r w:rsidRPr="00F73D7C">
        <w:rPr>
          <w:rFonts w:cs="Arial"/>
        </w:rPr>
        <w:t>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3265BFC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Beneficjent niezwłocznie przekazuje</w:t>
      </w:r>
      <w:r w:rsidR="008E2D9E" w:rsidRPr="00F73D7C">
        <w:rPr>
          <w:rFonts w:cs="Arial"/>
        </w:rPr>
        <w:t xml:space="preserve"> do MJWPU</w:t>
      </w:r>
      <w:r w:rsidRPr="00F73D7C">
        <w:rPr>
          <w:rFonts w:cs="Arial"/>
        </w:rPr>
        <w:t xml:space="preserve"> kopie ostatecznych wersji dokumentów (</w:t>
      </w:r>
      <w:r w:rsidR="00F30A29" w:rsidRPr="00F73D7C">
        <w:rPr>
          <w:rFonts w:cs="Arial"/>
        </w:rPr>
        <w:t>raport</w:t>
      </w:r>
      <w:r w:rsidR="00F30A29">
        <w:rPr>
          <w:rFonts w:cs="Arial"/>
        </w:rPr>
        <w:t>ów</w:t>
      </w:r>
      <w:r w:rsidRPr="00F73D7C">
        <w:rPr>
          <w:rFonts w:cs="Arial"/>
        </w:rPr>
        <w:t xml:space="preserve">, </w:t>
      </w:r>
      <w:r w:rsidR="00F30A29" w:rsidRPr="00F73D7C">
        <w:rPr>
          <w:rFonts w:cs="Arial"/>
        </w:rPr>
        <w:t>wystąpie</w:t>
      </w:r>
      <w:r w:rsidR="00F30A29">
        <w:rPr>
          <w:rFonts w:cs="Arial"/>
        </w:rPr>
        <w:t>ń</w:t>
      </w:r>
      <w:r w:rsidR="00F30A29" w:rsidRPr="00F73D7C">
        <w:rPr>
          <w:rFonts w:cs="Arial"/>
        </w:rPr>
        <w:t xml:space="preserve"> pokontroln</w:t>
      </w:r>
      <w:r w:rsidR="00F30A29">
        <w:rPr>
          <w:rFonts w:cs="Arial"/>
        </w:rPr>
        <w:t>ych</w:t>
      </w:r>
      <w:r w:rsidRPr="00F73D7C">
        <w:rPr>
          <w:rFonts w:cs="Arial"/>
        </w:rPr>
        <w:t xml:space="preserve">, </w:t>
      </w:r>
      <w:r w:rsidR="00F30A29" w:rsidRPr="00F73D7C">
        <w:rPr>
          <w:rFonts w:cs="Arial"/>
        </w:rPr>
        <w:t>sprawozda</w:t>
      </w:r>
      <w:r w:rsidR="00F30A29">
        <w:rPr>
          <w:rFonts w:cs="Arial"/>
        </w:rPr>
        <w:t>ń</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6D3564DB"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w:t>
      </w:r>
      <w:r w:rsidR="00F30A29">
        <w:rPr>
          <w:rFonts w:cs="Arial"/>
        </w:rPr>
        <w:t> </w:t>
      </w:r>
      <w:r w:rsidRPr="0830E6A0">
        <w:rPr>
          <w:rFonts w:cs="Arial"/>
        </w:rPr>
        <w:t>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 xml:space="preserve">została </w:t>
      </w:r>
      <w:r w:rsidR="28E0EBBF" w:rsidRPr="0830E6A0">
        <w:rPr>
          <w:rFonts w:cs="Arial"/>
        </w:rPr>
        <w:lastRenderedPageBreak/>
        <w:t>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1"/>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lastRenderedPageBreak/>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2"/>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1267A910"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przez okres 5 lat (3 lata - w przypadku MŚP – w</w:t>
      </w:r>
      <w:r w:rsidR="00A857A8">
        <w:rPr>
          <w:rFonts w:ascii="Arial" w:hAnsi="Arial" w:cs="Arial"/>
          <w:sz w:val="24"/>
          <w:szCs w:val="24"/>
        </w:rPr>
        <w:t> </w:t>
      </w:r>
      <w:r w:rsidRPr="00F73D7C">
        <w:rPr>
          <w:rFonts w:ascii="Arial" w:hAnsi="Arial" w:cs="Arial"/>
          <w:sz w:val="24"/>
          <w:szCs w:val="24"/>
        </w:rPr>
        <w:t xml:space="preserve">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3"/>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lastRenderedPageBreak/>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lastRenderedPageBreak/>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F029399"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ofinansowania wraz z odsetkami w</w:t>
      </w:r>
      <w:r w:rsidR="00A857A8">
        <w:rPr>
          <w:rFonts w:cs="Arial"/>
        </w:rPr>
        <w:t> </w:t>
      </w:r>
      <w:r w:rsidRPr="121C3086">
        <w:rPr>
          <w:rFonts w:cs="Arial"/>
        </w:rPr>
        <w:t xml:space="preserve">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w:t>
      </w:r>
      <w:r w:rsidR="00A857A8">
        <w:rPr>
          <w:rFonts w:cs="Arial"/>
        </w:rPr>
        <w:t> </w:t>
      </w:r>
      <w:r w:rsidRPr="121C3086">
        <w:rPr>
          <w:rFonts w:cs="Arial"/>
        </w:rPr>
        <w:t>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lastRenderedPageBreak/>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677E5FFC" w:rsidR="70EE78D9" w:rsidRPr="00865050"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r w:rsidR="005641E6">
        <w:rPr>
          <w:rStyle w:val="Odwoanieprzypisudolnego"/>
          <w:rFonts w:ascii="Arial" w:eastAsia="Arial" w:hAnsi="Arial" w:cs="Arial"/>
          <w:sz w:val="24"/>
          <w:szCs w:val="24"/>
        </w:rPr>
        <w:footnoteReference w:id="54"/>
      </w:r>
      <w:r w:rsidR="00AA3726">
        <w:rPr>
          <w:rFonts w:ascii="Arial" w:eastAsia="Arial" w:hAnsi="Arial" w:cs="Arial"/>
          <w:sz w:val="24"/>
          <w:szCs w:val="24"/>
          <w:vertAlign w:val="superscript"/>
        </w:rPr>
        <w:t>)</w:t>
      </w:r>
      <w:r w:rsidR="33AF91B0" w:rsidRPr="00323E00">
        <w:rPr>
          <w:rFonts w:ascii="Arial" w:eastAsia="Arial" w:hAnsi="Arial" w:cs="Arial"/>
          <w:sz w:val="24"/>
          <w:szCs w:val="24"/>
        </w:rPr>
        <w:t>;</w:t>
      </w:r>
    </w:p>
    <w:p w14:paraId="5E67FE24" w14:textId="7C8432FC" w:rsidR="005641E6" w:rsidRPr="001328B6" w:rsidRDefault="005641E6" w:rsidP="00865050">
      <w:pPr>
        <w:pStyle w:val="Akapitzlist"/>
        <w:numPr>
          <w:ilvl w:val="0"/>
          <w:numId w:val="2"/>
        </w:numPr>
        <w:spacing w:line="276" w:lineRule="auto"/>
        <w:ind w:left="567" w:hanging="425"/>
        <w:jc w:val="left"/>
        <w:rPr>
          <w:rFonts w:eastAsia="Arial" w:cs="Arial"/>
        </w:rPr>
      </w:pPr>
      <w:r w:rsidRPr="00AF1F2E">
        <w:rPr>
          <w:rFonts w:ascii="Arial" w:eastAsia="Aptos" w:hAnsi="Arial" w:cs="Arial"/>
          <w:color w:val="000000" w:themeColor="text1"/>
          <w:sz w:val="24"/>
          <w:szCs w:val="24"/>
        </w:rPr>
        <w:t>przesyłania w zakładce korespondencja w formie załącznika pdf, harmonogramu płatności niezwłocznie po uzyskaniu dostępu do systemu CST2021 oraz do 25 dnia każdego miesiąca</w:t>
      </w:r>
      <w:r w:rsidRPr="00992724">
        <w:rPr>
          <w:rStyle w:val="Odwoanieprzypisudolnego"/>
          <w:rFonts w:ascii="Arial" w:eastAsia="Aptos" w:hAnsi="Arial" w:cs="Arial"/>
          <w:color w:val="000000" w:themeColor="text1"/>
          <w:sz w:val="24"/>
          <w:szCs w:val="24"/>
        </w:rPr>
        <w:footnoteReference w:id="55"/>
      </w:r>
      <w:r w:rsidRPr="00992724">
        <w:rPr>
          <w:rFonts w:ascii="Arial" w:eastAsia="Aptos" w:hAnsi="Arial" w:cs="Arial"/>
          <w:color w:val="000000" w:themeColor="text1"/>
          <w:sz w:val="24"/>
          <w:szCs w:val="24"/>
          <w:vertAlign w:val="superscript"/>
        </w:rPr>
        <w:t>)</w:t>
      </w:r>
      <w:r>
        <w:rPr>
          <w:rFonts w:ascii="Arial" w:eastAsia="Arial" w:hAnsi="Arial" w:cs="Arial"/>
          <w:sz w:val="24"/>
          <w:szCs w:val="24"/>
        </w:rPr>
        <w:t>;</w:t>
      </w:r>
    </w:p>
    <w:p w14:paraId="5FE12B36" w14:textId="472788DC" w:rsidR="70EE78D9" w:rsidRPr="001328B6" w:rsidRDefault="006D685E" w:rsidP="00865050">
      <w:pPr>
        <w:pStyle w:val="Akapitzlist"/>
        <w:numPr>
          <w:ilvl w:val="0"/>
          <w:numId w:val="2"/>
        </w:numPr>
        <w:spacing w:line="276" w:lineRule="auto"/>
        <w:ind w:left="567" w:hanging="425"/>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865050">
      <w:pPr>
        <w:pStyle w:val="Akapitzlist"/>
        <w:numPr>
          <w:ilvl w:val="0"/>
          <w:numId w:val="2"/>
        </w:numPr>
        <w:spacing w:line="276" w:lineRule="auto"/>
        <w:ind w:left="567" w:hanging="425"/>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865050">
      <w:pPr>
        <w:pStyle w:val="Akapitzlist"/>
        <w:numPr>
          <w:ilvl w:val="0"/>
          <w:numId w:val="2"/>
        </w:numPr>
        <w:spacing w:line="276" w:lineRule="auto"/>
        <w:ind w:left="567" w:hanging="425"/>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6"/>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lastRenderedPageBreak/>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7"/>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0E5353D"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w:t>
      </w:r>
      <w:r w:rsidR="00A857A8">
        <w:rPr>
          <w:rFonts w:cs="Arial"/>
        </w:rPr>
        <w:t> </w:t>
      </w:r>
      <w:r w:rsidRPr="0830E6A0">
        <w:rPr>
          <w:rFonts w:cs="Arial"/>
        </w:rPr>
        <w:t xml:space="preserve">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 xml:space="preserve">o którym mowa w zdaniu pierwszym jest </w:t>
      </w:r>
      <w:r w:rsidR="00DB6A2E" w:rsidRPr="00F73D7C">
        <w:rPr>
          <w:rFonts w:cs="Arial"/>
          <w:iCs/>
        </w:rPr>
        <w:lastRenderedPageBreak/>
        <w:t>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54384B23"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w związku z</w:t>
      </w:r>
      <w:r w:rsidR="00A857A8">
        <w:rPr>
          <w:rFonts w:cs="Arial"/>
        </w:rPr>
        <w:t> </w:t>
      </w:r>
      <w:r w:rsidR="00406125">
        <w:rPr>
          <w:rFonts w:cs="Arial"/>
        </w:rPr>
        <w:t xml:space="preserve">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 xml:space="preserve">i organizacyjne, zapewniające adekwatny stopień bezpieczeństwa, odpowiadający </w:t>
      </w:r>
      <w:r w:rsidRPr="00F73D7C">
        <w:rPr>
          <w:rFonts w:cs="Arial"/>
        </w:rPr>
        <w:lastRenderedPageBreak/>
        <w:t>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8"/>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4957BEFF"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205C27">
        <w:rPr>
          <w:rFonts w:cs="Arial"/>
        </w:rPr>
        <w:t>2024</w:t>
      </w:r>
      <w:r w:rsidR="00205C27" w:rsidRPr="00F73D7C">
        <w:rPr>
          <w:rFonts w:cs="Arial"/>
        </w:rPr>
        <w:t xml:space="preserve"> </w:t>
      </w:r>
      <w:r w:rsidRPr="00F73D7C">
        <w:rPr>
          <w:rFonts w:cs="Arial"/>
        </w:rPr>
        <w:t>r. poz.</w:t>
      </w:r>
      <w:r w:rsidR="003235C2" w:rsidRPr="00F73D7C">
        <w:rPr>
          <w:rFonts w:cs="Arial"/>
        </w:rPr>
        <w:t xml:space="preserve"> </w:t>
      </w:r>
      <w:r w:rsidR="00205C27">
        <w:rPr>
          <w:rFonts w:cs="Arial"/>
        </w:rPr>
        <w:t>1061</w:t>
      </w:r>
      <w:r w:rsidR="00E85E57">
        <w:rPr>
          <w:rFonts w:cs="Arial"/>
        </w:rPr>
        <w:t>, z</w:t>
      </w:r>
      <w:r w:rsidR="00FB3B5C">
        <w:rPr>
          <w:rFonts w:cs="Arial"/>
        </w:rPr>
        <w:t> </w:t>
      </w:r>
      <w:r w:rsidR="00E85E57">
        <w:rPr>
          <w:rFonts w:cs="Arial"/>
        </w:rPr>
        <w:t>późn.zm.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lastRenderedPageBreak/>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9"/>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60"/>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38FC0584"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00F20CA7">
        <w:rPr>
          <w:rStyle w:val="Odwoanieprzypisudolnego"/>
          <w:rFonts w:cs="Arial"/>
          <w:b/>
        </w:rPr>
        <w:footnoteReference w:id="61"/>
      </w:r>
      <w:r w:rsidR="00BF07D5">
        <w:rPr>
          <w:rFonts w:cs="Arial"/>
          <w:b/>
          <w:vertAlign w:val="superscript"/>
        </w:rPr>
        <w: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D5F9B" w14:textId="77777777" w:rsidR="00B660E0" w:rsidRDefault="00B660E0">
      <w:r>
        <w:separator/>
      </w:r>
    </w:p>
  </w:endnote>
  <w:endnote w:type="continuationSeparator" w:id="0">
    <w:p w14:paraId="2397044C" w14:textId="77777777" w:rsidR="00B660E0" w:rsidRDefault="00B66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C89F4" w14:textId="02058941" w:rsidR="007B21B2" w:rsidRPr="00E548AA" w:rsidRDefault="007B21B2">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952D52">
      <w:rPr>
        <w:rStyle w:val="Numerstrony"/>
        <w:noProof/>
        <w:sz w:val="22"/>
        <w:szCs w:val="22"/>
      </w:rPr>
      <w:t>1</w:t>
    </w:r>
    <w:r w:rsidRPr="00E548AA">
      <w:rPr>
        <w:rStyle w:val="Numerstrony"/>
        <w:sz w:val="22"/>
        <w:szCs w:val="22"/>
      </w:rPr>
      <w:fldChar w:fldCharType="end"/>
    </w:r>
  </w:p>
  <w:p w14:paraId="46252810" w14:textId="77777777" w:rsidR="007B21B2" w:rsidRDefault="007B21B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48C9B" w14:textId="77777777" w:rsidR="00B660E0" w:rsidRDefault="00B660E0">
      <w:r>
        <w:separator/>
      </w:r>
    </w:p>
  </w:footnote>
  <w:footnote w:type="continuationSeparator" w:id="0">
    <w:p w14:paraId="4C34C731" w14:textId="77777777" w:rsidR="00B660E0" w:rsidRDefault="00B660E0">
      <w:r>
        <w:continuationSeparator/>
      </w:r>
    </w:p>
  </w:footnote>
  <w:footnote w:id="1">
    <w:p w14:paraId="60EB2D58" w14:textId="0EA75FB9" w:rsidR="007B21B2" w:rsidRDefault="007B21B2"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w:t>
      </w:r>
      <w:r w:rsidR="00E56B88">
        <w:rPr>
          <w:rFonts w:cs="Arial"/>
          <w:sz w:val="18"/>
          <w:szCs w:val="18"/>
        </w:rPr>
        <w:t> </w:t>
      </w:r>
      <w:r>
        <w:rPr>
          <w:rFonts w:cs="Arial"/>
          <w:sz w:val="18"/>
          <w:szCs w:val="18"/>
        </w:rPr>
        <w:t>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7B21B2" w:rsidRPr="00D244BB" w:rsidRDefault="007B21B2"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7B21B2" w:rsidRPr="00D244BB" w:rsidRDefault="007B21B2">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7B21B2" w:rsidRPr="00D244BB" w:rsidRDefault="007B21B2"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7B21B2" w:rsidRPr="002D1C56" w:rsidRDefault="007B21B2"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7B21B2" w:rsidRPr="00F829EE" w:rsidRDefault="007B21B2"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Pr>
          <w:rFonts w:cs="Arial"/>
          <w:sz w:val="18"/>
          <w:szCs w:val="18"/>
        </w:rPr>
        <w:t>3</w:t>
      </w:r>
      <w:r w:rsidRPr="00F829EE">
        <w:rPr>
          <w:rFonts w:cs="Arial"/>
          <w:sz w:val="18"/>
          <w:szCs w:val="18"/>
        </w:rPr>
        <w:t xml:space="preserve"> Umowy.</w:t>
      </w:r>
    </w:p>
  </w:footnote>
  <w:footnote w:id="9">
    <w:p w14:paraId="5F068E95" w14:textId="56E9A6BE" w:rsidR="007B21B2" w:rsidRDefault="007B21B2"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7B21B2" w:rsidRPr="002D3967" w:rsidRDefault="007B21B2"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Pr>
          <w:rFonts w:cs="Arial"/>
          <w:sz w:val="18"/>
          <w:szCs w:val="18"/>
        </w:rPr>
        <w:t>.</w:t>
      </w:r>
    </w:p>
  </w:footnote>
  <w:footnote w:id="11">
    <w:p w14:paraId="1460B5BE" w14:textId="5AF1333D" w:rsidR="007B21B2" w:rsidRPr="00980DFC" w:rsidRDefault="007B21B2"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46100629" w:rsidR="007B21B2" w:rsidRPr="00B61EE3" w:rsidRDefault="007B21B2"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w:t>
      </w:r>
      <w:r w:rsidR="00DA5868">
        <w:rPr>
          <w:rFonts w:cs="Arial"/>
          <w:sz w:val="18"/>
          <w:szCs w:val="18"/>
        </w:rPr>
        <w:t> </w:t>
      </w:r>
      <w:r w:rsidRPr="00B61EE3">
        <w:rPr>
          <w:rFonts w:cs="Arial"/>
          <w:sz w:val="18"/>
          <w:szCs w:val="18"/>
        </w:rPr>
        <w:t>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cs="Arial"/>
          <w:sz w:val="18"/>
          <w:szCs w:val="18"/>
        </w:rPr>
        <w:t>3</w:t>
      </w:r>
      <w:r w:rsidRPr="00B61EE3">
        <w:rPr>
          <w:rFonts w:cs="Arial"/>
          <w:sz w:val="18"/>
          <w:szCs w:val="18"/>
        </w:rPr>
        <w:t xml:space="preserve"> nie ma zastosowania.</w:t>
      </w:r>
    </w:p>
  </w:footnote>
  <w:footnote w:id="13">
    <w:p w14:paraId="08CF9AC9" w14:textId="69E1687F" w:rsidR="007B21B2" w:rsidRPr="00A941A0" w:rsidRDefault="007B21B2"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4">
    <w:p w14:paraId="69137EC0" w14:textId="0772D12B" w:rsidR="007B21B2" w:rsidRPr="00BA217B" w:rsidRDefault="007B21B2"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440397D7" w:rsidR="007B21B2" w:rsidRPr="00BA217B" w:rsidRDefault="007B21B2"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Pr>
          <w:rFonts w:cs="Arial"/>
          <w:sz w:val="18"/>
          <w:szCs w:val="18"/>
        </w:rPr>
        <w:t xml:space="preserve"> </w:t>
      </w:r>
      <w:r w:rsidRPr="00BA217B">
        <w:rPr>
          <w:rFonts w:cs="Arial"/>
          <w:sz w:val="18"/>
          <w:szCs w:val="18"/>
        </w:rPr>
        <w:t>Oryginał faktury musi zawierać oznakowanie i opis zgodny z informacją zawartą na stronie www.fundusze</w:t>
      </w:r>
      <w:r w:rsidR="00DA5868">
        <w:rPr>
          <w:rFonts w:cs="Arial"/>
          <w:sz w:val="18"/>
          <w:szCs w:val="18"/>
        </w:rPr>
        <w:t>ue</w:t>
      </w:r>
      <w:r w:rsidRPr="00BA217B">
        <w:rPr>
          <w:rFonts w:cs="Arial"/>
          <w:sz w:val="18"/>
          <w:szCs w:val="18"/>
        </w:rPr>
        <w:t>dlamazowsza.eu</w:t>
      </w:r>
      <w:r w:rsidRPr="00BA217B">
        <w:rPr>
          <w:rFonts w:cs="Arial"/>
          <w:bCs/>
          <w:sz w:val="18"/>
          <w:szCs w:val="18"/>
        </w:rPr>
        <w:t>.</w:t>
      </w:r>
    </w:p>
  </w:footnote>
  <w:footnote w:id="16">
    <w:p w14:paraId="7BF31469" w14:textId="7CA3F3B4" w:rsidR="007B21B2" w:rsidRPr="004E6771" w:rsidRDefault="007B21B2"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Pr>
          <w:rFonts w:cs="Arial"/>
          <w:color w:val="000000"/>
          <w:sz w:val="18"/>
          <w:szCs w:val="18"/>
        </w:rPr>
        <w:t xml:space="preserve">dnia </w:t>
      </w:r>
      <w:r w:rsidRPr="00BA217B">
        <w:rPr>
          <w:rFonts w:cs="Arial"/>
          <w:color w:val="000000"/>
          <w:sz w:val="18"/>
          <w:szCs w:val="18"/>
        </w:rPr>
        <w:t>29 września 1994 r. o rachunkowości (Dz. U. z 2023 r. poz. 120</w:t>
      </w:r>
      <w:r>
        <w:rPr>
          <w:rFonts w:cs="Arial"/>
          <w:color w:val="000000"/>
          <w:sz w:val="18"/>
          <w:szCs w:val="18"/>
        </w:rPr>
        <w:t>, z późn. zm.</w:t>
      </w:r>
      <w:r w:rsidRPr="00BA217B">
        <w:rPr>
          <w:rFonts w:cs="Arial"/>
          <w:color w:val="000000"/>
          <w:sz w:val="18"/>
          <w:szCs w:val="18"/>
        </w:rPr>
        <w:t>).</w:t>
      </w:r>
    </w:p>
  </w:footnote>
  <w:footnote w:id="17">
    <w:p w14:paraId="04FBEC45" w14:textId="387974EF" w:rsidR="00187B56" w:rsidRPr="00B84D9C" w:rsidRDefault="00187B56" w:rsidP="00187B56">
      <w:pPr>
        <w:pStyle w:val="Tekstprzypisudolnego"/>
        <w:rPr>
          <w:rStyle w:val="Odwoanieprzypisudolnego"/>
          <w:rFonts w:cs="Arial"/>
          <w:sz w:val="18"/>
          <w:szCs w:val="18"/>
        </w:rPr>
      </w:pPr>
      <w:r w:rsidRPr="00B84D9C">
        <w:rPr>
          <w:rStyle w:val="Odwoanieprzypisudolnego"/>
          <w:rFonts w:cs="Arial"/>
          <w:sz w:val="18"/>
          <w:szCs w:val="18"/>
        </w:rPr>
        <w:footnoteRef/>
      </w:r>
      <w:r w:rsidR="00B84D9C" w:rsidRPr="00B84D9C">
        <w:rPr>
          <w:rStyle w:val="Odwoanieprzypisudolnego"/>
          <w:rFonts w:cs="Arial"/>
          <w:sz w:val="18"/>
          <w:szCs w:val="18"/>
        </w:rPr>
        <w:t>)</w:t>
      </w:r>
      <w:r w:rsidRPr="00B84D9C">
        <w:rPr>
          <w:rStyle w:val="Odwoanieprzypisudolnego"/>
          <w:rFonts w:cs="Arial"/>
          <w:sz w:val="18"/>
          <w:szCs w:val="18"/>
        </w:rPr>
        <w:t xml:space="preserve"> </w:t>
      </w:r>
      <w:r w:rsidRPr="00942186">
        <w:rPr>
          <w:sz w:val="18"/>
          <w:szCs w:val="18"/>
        </w:rPr>
        <w:t>Dotyczy Projektu, którego łączny koszt wynosi co najmniej 5 mln EUR (włączając VAT).</w:t>
      </w:r>
    </w:p>
  </w:footnote>
  <w:footnote w:id="18">
    <w:p w14:paraId="5394EC47" w14:textId="04E94A12" w:rsidR="007B21B2" w:rsidRPr="00432FB6" w:rsidRDefault="007B21B2"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19">
    <w:p w14:paraId="13394E04" w14:textId="04CB4FBD" w:rsidR="007B21B2" w:rsidRPr="004E6771" w:rsidRDefault="007B21B2"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0">
    <w:p w14:paraId="1872AA59" w14:textId="4A4E2B3B" w:rsidR="007B21B2" w:rsidRPr="00321AB3" w:rsidRDefault="007B21B2"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1">
    <w:p w14:paraId="01FDE955" w14:textId="1561077A" w:rsidR="007B21B2" w:rsidRPr="003E0247" w:rsidRDefault="007B21B2"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w:t>
      </w:r>
      <w:r w:rsidR="00CE51F3">
        <w:rPr>
          <w:rFonts w:cs="Arial"/>
          <w:bCs/>
          <w:sz w:val="18"/>
          <w:szCs w:val="18"/>
        </w:rPr>
        <w:t> </w:t>
      </w:r>
      <w:r w:rsidRPr="00321AB3">
        <w:rPr>
          <w:rFonts w:cs="Arial"/>
          <w:bCs/>
          <w:sz w:val="18"/>
          <w:szCs w:val="18"/>
        </w:rPr>
        <w:t>treści Umowy oraz przepisami prawa unijnego i krajowego. Powinny uwzględniać specyfikę danego działania w</w:t>
      </w:r>
      <w:r w:rsidR="00CE51F3">
        <w:rPr>
          <w:rFonts w:cs="Arial"/>
          <w:bCs/>
          <w:sz w:val="18"/>
          <w:szCs w:val="18"/>
        </w:rPr>
        <w:t> </w:t>
      </w:r>
      <w:r w:rsidRPr="00321AB3">
        <w:rPr>
          <w:rFonts w:cs="Arial"/>
          <w:bCs/>
          <w:sz w:val="18"/>
          <w:szCs w:val="18"/>
        </w:rPr>
        <w:t xml:space="preserve">ramach FEM 2021-2027, regulamin </w:t>
      </w:r>
      <w:r>
        <w:rPr>
          <w:rFonts w:cs="Arial"/>
          <w:bCs/>
          <w:sz w:val="18"/>
          <w:szCs w:val="18"/>
        </w:rPr>
        <w:t>wyboru</w:t>
      </w:r>
      <w:r w:rsidRPr="00321AB3">
        <w:rPr>
          <w:rFonts w:cs="Arial"/>
          <w:bCs/>
          <w:sz w:val="18"/>
          <w:szCs w:val="18"/>
        </w:rPr>
        <w:t xml:space="preserve"> </w:t>
      </w:r>
      <w:r>
        <w:rPr>
          <w:rFonts w:cs="Arial"/>
          <w:bCs/>
          <w:sz w:val="18"/>
          <w:szCs w:val="18"/>
        </w:rPr>
        <w:t>p</w:t>
      </w:r>
      <w:r w:rsidRPr="00321AB3">
        <w:rPr>
          <w:rFonts w:cs="Arial"/>
          <w:bCs/>
          <w:sz w:val="18"/>
          <w:szCs w:val="18"/>
        </w:rPr>
        <w:t>rojektów oraz Wytyczne. Wprowadzenie postanowień do § 4 wymaga akceptacji I</w:t>
      </w:r>
      <w:r>
        <w:rPr>
          <w:rFonts w:cs="Arial"/>
          <w:bCs/>
          <w:sz w:val="18"/>
          <w:szCs w:val="18"/>
        </w:rPr>
        <w:t xml:space="preserve">nstytucji </w:t>
      </w:r>
      <w:r w:rsidRPr="00321AB3">
        <w:rPr>
          <w:rFonts w:cs="Arial"/>
          <w:bCs/>
          <w:sz w:val="18"/>
          <w:szCs w:val="18"/>
        </w:rPr>
        <w:t>Z</w:t>
      </w:r>
      <w:r>
        <w:rPr>
          <w:rFonts w:cs="Arial"/>
          <w:bCs/>
          <w:sz w:val="18"/>
          <w:szCs w:val="18"/>
        </w:rPr>
        <w:t>arządzającej</w:t>
      </w:r>
      <w:r w:rsidRPr="00321AB3">
        <w:rPr>
          <w:rFonts w:cs="Arial"/>
          <w:bCs/>
          <w:sz w:val="18"/>
          <w:szCs w:val="18"/>
        </w:rPr>
        <w:t>, z wyłączeniem informacji o wysokości udzielonej pomocy publicznej.</w:t>
      </w:r>
    </w:p>
  </w:footnote>
  <w:footnote w:id="22">
    <w:p w14:paraId="04ED22EC" w14:textId="507E88F6" w:rsidR="007B21B2" w:rsidRPr="00321AB3" w:rsidRDefault="007B21B2">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1" w:history="1">
        <w:r w:rsidR="00CE51F3" w:rsidRPr="00CE51F3">
          <w:rPr>
            <w:rStyle w:val="Hipercze"/>
            <w:rFonts w:ascii="Arial" w:hAnsi="Arial" w:cs="Arial"/>
            <w:sz w:val="18"/>
            <w:szCs w:val="18"/>
          </w:rPr>
          <w:t>www.funduszeuedlamazowsza.</w:t>
        </w:r>
      </w:hyperlink>
      <w:r w:rsidRPr="00321AB3">
        <w:rPr>
          <w:rFonts w:cs="Arial"/>
          <w:sz w:val="18"/>
          <w:szCs w:val="18"/>
        </w:rPr>
        <w:t>eu, www.funduszeeuropejskie.gov.pl</w:t>
      </w:r>
    </w:p>
  </w:footnote>
  <w:footnote w:id="23">
    <w:p w14:paraId="5DBE6447" w14:textId="65FC2C43" w:rsidR="007B21B2" w:rsidRPr="00B45A3D" w:rsidRDefault="007B21B2">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Pr>
          <w:sz w:val="18"/>
          <w:szCs w:val="18"/>
        </w:rPr>
        <w:br/>
        <w:t>w trakcie którego wydatki nie będą podlegały kwalifikowalności.</w:t>
      </w:r>
    </w:p>
  </w:footnote>
  <w:footnote w:id="24">
    <w:p w14:paraId="18615E54" w14:textId="244B886F" w:rsidR="007B21B2" w:rsidRPr="003527B5" w:rsidRDefault="007B21B2">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5">
    <w:p w14:paraId="6A6C7586" w14:textId="313097DD"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6">
    <w:p w14:paraId="5DE58F66" w14:textId="303EC963"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7">
    <w:p w14:paraId="4ABB2BFF" w14:textId="73C0951B" w:rsidR="007B21B2" w:rsidRPr="00E25754" w:rsidRDefault="007B21B2"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8">
    <w:p w14:paraId="03E1D46D" w14:textId="3E252B37"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29">
    <w:p w14:paraId="56B31382" w14:textId="32F7A0F1"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4F9DB657" w14:textId="0A7BD150" w:rsidR="007B21B2" w:rsidRPr="004C23A7" w:rsidRDefault="007B21B2"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Pr>
          <w:sz w:val="18"/>
          <w:szCs w:val="18"/>
        </w:rPr>
        <w:t>N</w:t>
      </w:r>
      <w:r w:rsidRPr="004C23A7">
        <w:rPr>
          <w:sz w:val="18"/>
          <w:szCs w:val="18"/>
        </w:rPr>
        <w:t>ależy wybrać właściwą wartość, zgodnie z wnioskiem o dofinansowanie</w:t>
      </w:r>
    </w:p>
  </w:footnote>
  <w:footnote w:id="31">
    <w:p w14:paraId="2F005192" w14:textId="60E60DB9"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2">
    <w:p w14:paraId="28A1A27B" w14:textId="24BFF4C2" w:rsidR="007B21B2" w:rsidRDefault="007B21B2"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3">
    <w:p w14:paraId="240B20EF" w14:textId="1B25EFB6" w:rsidR="007B21B2" w:rsidRPr="001D37A5" w:rsidRDefault="007B21B2"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W przypadku Projektów objętych pomocą publiczną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4">
    <w:p w14:paraId="33587F82" w14:textId="75B8C8B3" w:rsidR="007B21B2" w:rsidRPr="00F23BE6" w:rsidRDefault="007B21B2"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5">
    <w:p w14:paraId="65207F68" w14:textId="2FA81EE0" w:rsidR="007B21B2" w:rsidRPr="00F23BE6" w:rsidRDefault="007B21B2"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w:t>
      </w:r>
      <w:r w:rsidR="00FA4CC8" w:rsidRPr="00F23BE6">
        <w:rPr>
          <w:rFonts w:cs="Arial"/>
          <w:sz w:val="18"/>
          <w:szCs w:val="18"/>
        </w:rPr>
        <w:t>202</w:t>
      </w:r>
      <w:r w:rsidR="00FA4CC8">
        <w:rPr>
          <w:rFonts w:cs="Arial"/>
          <w:sz w:val="18"/>
          <w:szCs w:val="18"/>
        </w:rPr>
        <w:t>4</w:t>
      </w:r>
      <w:r w:rsidR="00FA4CC8" w:rsidRPr="00F23BE6">
        <w:rPr>
          <w:rFonts w:cs="Arial"/>
          <w:sz w:val="18"/>
          <w:szCs w:val="18"/>
        </w:rPr>
        <w:t xml:space="preserve"> </w:t>
      </w:r>
      <w:r w:rsidRPr="00F23BE6">
        <w:rPr>
          <w:rFonts w:cs="Arial"/>
          <w:sz w:val="18"/>
          <w:szCs w:val="18"/>
        </w:rPr>
        <w:t xml:space="preserve">r. poz. </w:t>
      </w:r>
      <w:r w:rsidR="00FA4CC8">
        <w:rPr>
          <w:rFonts w:cs="Arial"/>
          <w:sz w:val="18"/>
          <w:szCs w:val="18"/>
        </w:rPr>
        <w:t>356</w:t>
      </w:r>
      <w:r w:rsidRPr="00F23BE6">
        <w:rPr>
          <w:rFonts w:cs="Arial"/>
          <w:sz w:val="18"/>
          <w:szCs w:val="18"/>
        </w:rPr>
        <w:t>).</w:t>
      </w:r>
    </w:p>
  </w:footnote>
  <w:footnote w:id="36">
    <w:p w14:paraId="2AC4A92D" w14:textId="2EF51073" w:rsidR="007B21B2" w:rsidRPr="00900967" w:rsidRDefault="007B21B2"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7">
    <w:p w14:paraId="2E658105" w14:textId="2CB8584C" w:rsidR="007B21B2" w:rsidRPr="00F23BE6" w:rsidRDefault="007B21B2">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8">
    <w:p w14:paraId="784B3592" w14:textId="2A141FB8" w:rsidR="007B21B2" w:rsidRPr="00F23BE6" w:rsidRDefault="007B21B2"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39">
    <w:p w14:paraId="7853210A" w14:textId="611197C7" w:rsidR="007B21B2" w:rsidRPr="00BD4546" w:rsidRDefault="007B21B2"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0">
    <w:p w14:paraId="28277857" w14:textId="32237A6F" w:rsidR="007B21B2" w:rsidRPr="00BD4546" w:rsidRDefault="007B21B2"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1">
    <w:p w14:paraId="0D407740" w14:textId="161CBA63" w:rsidR="007B21B2" w:rsidRPr="00ED1F07" w:rsidRDefault="007B21B2"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2">
    <w:p w14:paraId="7D2B9D53" w14:textId="69AB994E"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3">
    <w:p w14:paraId="757A1949" w14:textId="40A9040A"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E51406">
        <w:rPr>
          <w:rFonts w:cs="Arial"/>
          <w:sz w:val="18"/>
          <w:szCs w:val="18"/>
          <w:lang w:bidi="pl-PL"/>
        </w:rPr>
        <w:t>i</w:t>
      </w:r>
      <w:r w:rsidRPr="00962C27">
        <w:rPr>
          <w:rFonts w:cs="Arial"/>
          <w:sz w:val="18"/>
          <w:szCs w:val="18"/>
          <w:lang w:bidi="pl-PL"/>
        </w:rPr>
        <w:t>a Umowy</w:t>
      </w:r>
      <w:r>
        <w:rPr>
          <w:rFonts w:cs="Arial"/>
          <w:sz w:val="18"/>
          <w:szCs w:val="18"/>
          <w:lang w:bidi="pl-PL"/>
        </w:rPr>
        <w:t>.</w:t>
      </w:r>
    </w:p>
  </w:footnote>
  <w:footnote w:id="44">
    <w:p w14:paraId="6F036FFE" w14:textId="59770BCF"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5">
    <w:p w14:paraId="2CE92C79" w14:textId="77777777" w:rsidR="007B21B2" w:rsidRPr="00962C27" w:rsidRDefault="007B21B2"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6">
    <w:p w14:paraId="085BF0FB" w14:textId="6D249A55" w:rsidR="007B21B2" w:rsidRPr="00731667" w:rsidRDefault="007B21B2"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AB2EF6">
        <w:rPr>
          <w:rFonts w:cs="Arial"/>
          <w:sz w:val="18"/>
          <w:szCs w:val="18"/>
          <w:lang w:bidi="pl-PL"/>
        </w:rPr>
        <w:t>i</w:t>
      </w:r>
      <w:r w:rsidRPr="00962C27">
        <w:rPr>
          <w:rFonts w:cs="Arial"/>
          <w:sz w:val="18"/>
          <w:szCs w:val="18"/>
          <w:lang w:bidi="pl-PL"/>
        </w:rPr>
        <w:t>a Umowy.</w:t>
      </w:r>
    </w:p>
  </w:footnote>
  <w:footnote w:id="47">
    <w:p w14:paraId="4A388A8D" w14:textId="77777777"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8">
    <w:p w14:paraId="762813FE" w14:textId="256C4DC6" w:rsidR="007B21B2" w:rsidRDefault="007B21B2"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Pr>
          <w:rFonts w:cs="Arial"/>
          <w:sz w:val="18"/>
          <w:szCs w:val="18"/>
          <w:lang w:bidi="pl-PL"/>
        </w:rPr>
        <w:t>P</w:t>
      </w:r>
      <w:r w:rsidRPr="00731667">
        <w:rPr>
          <w:rFonts w:cs="Arial"/>
          <w:sz w:val="18"/>
          <w:szCs w:val="18"/>
          <w:lang w:bidi="pl-PL"/>
        </w:rPr>
        <w:t>rojektu.</w:t>
      </w:r>
    </w:p>
  </w:footnote>
  <w:footnote w:id="49">
    <w:p w14:paraId="7A93F021" w14:textId="77777777" w:rsidR="007B21B2" w:rsidRPr="00731667" w:rsidRDefault="007B21B2"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7B21B2" w:rsidRDefault="007B21B2" w:rsidP="005B2E04">
      <w:pPr>
        <w:pStyle w:val="Tekstprzypisudolnego"/>
        <w:rPr>
          <w:rFonts w:ascii="Calibri" w:hAnsi="Calibri"/>
        </w:rPr>
      </w:pPr>
    </w:p>
  </w:footnote>
  <w:footnote w:id="50">
    <w:p w14:paraId="20CB4453" w14:textId="77777777" w:rsidR="007B21B2" w:rsidRPr="008D381E" w:rsidRDefault="007B21B2"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1">
    <w:p w14:paraId="47B7B7FA" w14:textId="4C20FE26" w:rsidR="007B21B2" w:rsidRPr="009F7CEA" w:rsidRDefault="007B21B2"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2">
    <w:p w14:paraId="6E19BCAC" w14:textId="28C2DFF5" w:rsidR="007B21B2" w:rsidRPr="009F7CEA" w:rsidRDefault="007B21B2">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C67FDEE" w14:textId="0CFF1C7F" w:rsidR="007B21B2" w:rsidRPr="00A941A0" w:rsidRDefault="007B21B2"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4">
    <w:p w14:paraId="2D3BC469" w14:textId="76353D02" w:rsidR="005641E6" w:rsidRPr="00865050" w:rsidRDefault="005641E6">
      <w:pPr>
        <w:pStyle w:val="Tekstprzypisudolnego"/>
        <w:rPr>
          <w:sz w:val="18"/>
          <w:szCs w:val="18"/>
        </w:rPr>
      </w:pPr>
      <w:r>
        <w:rPr>
          <w:rStyle w:val="Odwoanieprzypisudolnego"/>
        </w:rPr>
        <w:footnoteRef/>
      </w:r>
      <w:r w:rsidR="00AA3726">
        <w:rPr>
          <w:vertAlign w:val="superscript"/>
        </w:rPr>
        <w:t>)</w:t>
      </w:r>
      <w:r>
        <w:t xml:space="preserve"> </w:t>
      </w:r>
      <w:r w:rsidRPr="00AF1F2E">
        <w:rPr>
          <w:sz w:val="18"/>
          <w:szCs w:val="18"/>
        </w:rPr>
        <w:t>Od momentu</w:t>
      </w:r>
      <w:r>
        <w:rPr>
          <w:sz w:val="18"/>
          <w:szCs w:val="18"/>
        </w:rPr>
        <w:t xml:space="preserve"> aktywowania w CST zakładki „Harmonogram płatności”</w:t>
      </w:r>
    </w:p>
  </w:footnote>
  <w:footnote w:id="55">
    <w:p w14:paraId="76A4E3C8" w14:textId="77777777" w:rsidR="005641E6" w:rsidRPr="00AF1F2E" w:rsidRDefault="005641E6" w:rsidP="005641E6">
      <w:pPr>
        <w:pStyle w:val="Tekstprzypisudolnego"/>
        <w:rPr>
          <w:sz w:val="18"/>
          <w:szCs w:val="18"/>
        </w:rPr>
      </w:pPr>
      <w:r w:rsidRPr="00AF1F2E">
        <w:rPr>
          <w:rStyle w:val="Odwoanieprzypisudolnego"/>
          <w:sz w:val="18"/>
          <w:szCs w:val="18"/>
        </w:rPr>
        <w:footnoteRef/>
      </w:r>
      <w:r w:rsidRPr="00AF1F2E">
        <w:rPr>
          <w:sz w:val="18"/>
          <w:szCs w:val="18"/>
          <w:vertAlign w:val="superscript"/>
        </w:rPr>
        <w:t>)</w:t>
      </w:r>
      <w:r>
        <w:rPr>
          <w:sz w:val="18"/>
          <w:szCs w:val="18"/>
          <w:vertAlign w:val="superscript"/>
        </w:rPr>
        <w:t xml:space="preserve"> </w:t>
      </w:r>
      <w:r>
        <w:rPr>
          <w:sz w:val="18"/>
          <w:szCs w:val="18"/>
        </w:rPr>
        <w:t>Do momentu aktywowania w CST zakładki „Harmonogram płatności”</w:t>
      </w:r>
    </w:p>
  </w:footnote>
  <w:footnote w:id="56">
    <w:p w14:paraId="36BD9BE2" w14:textId="77777777" w:rsidR="007B21B2" w:rsidRPr="009F7CEA" w:rsidRDefault="007B21B2"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7">
    <w:p w14:paraId="23120E23" w14:textId="77777777" w:rsidR="007B21B2" w:rsidRPr="007541DE" w:rsidRDefault="007B21B2"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8">
    <w:p w14:paraId="25CF25EA" w14:textId="663975E3" w:rsidR="007B21B2" w:rsidRPr="00242F31" w:rsidRDefault="007B21B2"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9">
    <w:p w14:paraId="16EE3DE1" w14:textId="47742D33" w:rsidR="007B21B2" w:rsidRPr="00724BB2" w:rsidRDefault="007B21B2">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 xml:space="preserve">) </w:t>
      </w:r>
      <w:r w:rsidRPr="00724BB2">
        <w:rPr>
          <w:rFonts w:cs="Arial"/>
          <w:sz w:val="18"/>
          <w:szCs w:val="18"/>
        </w:rPr>
        <w:t>Jeśli dotyczy.</w:t>
      </w:r>
    </w:p>
  </w:footnote>
  <w:footnote w:id="60">
    <w:p w14:paraId="24311643" w14:textId="3FF9AAC0" w:rsidR="007B21B2" w:rsidRDefault="007B21B2"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 w:id="61">
    <w:p w14:paraId="37F9F770" w14:textId="376C65AE" w:rsidR="00F20CA7" w:rsidRPr="00F96420" w:rsidRDefault="00F20CA7">
      <w:pPr>
        <w:pStyle w:val="Tekstprzypisudolnego"/>
        <w:rPr>
          <w:sz w:val="18"/>
          <w:szCs w:val="18"/>
        </w:rPr>
      </w:pPr>
      <w:r w:rsidRPr="00F96420">
        <w:rPr>
          <w:rStyle w:val="Odwoanieprzypisudolnego"/>
          <w:sz w:val="18"/>
          <w:szCs w:val="18"/>
        </w:rPr>
        <w:footnoteRef/>
      </w:r>
      <w:r w:rsidR="00BF07D5" w:rsidRPr="00F96420">
        <w:rPr>
          <w:sz w:val="18"/>
          <w:szCs w:val="18"/>
          <w:vertAlign w:val="superscript"/>
        </w:rPr>
        <w:t>)</w:t>
      </w:r>
      <w:r w:rsidRPr="00F96420">
        <w:rPr>
          <w:sz w:val="18"/>
          <w:szCs w:val="18"/>
        </w:rPr>
        <w:t xml:space="preserve">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214C7" w14:textId="77777777" w:rsidR="007B21B2" w:rsidRDefault="007B21B2" w:rsidP="006634E2">
    <w:pPr>
      <w:ind w:right="-1417"/>
    </w:pPr>
  </w:p>
  <w:p w14:paraId="36640051" w14:textId="77777777" w:rsidR="007B21B2" w:rsidRDefault="007B21B2"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1894847968">
    <w:abstractNumId w:val="86"/>
  </w:num>
  <w:num w:numId="2" w16cid:durableId="162283801">
    <w:abstractNumId w:val="31"/>
  </w:num>
  <w:num w:numId="3" w16cid:durableId="1111975058">
    <w:abstractNumId w:val="53"/>
  </w:num>
  <w:num w:numId="4" w16cid:durableId="2054963111">
    <w:abstractNumId w:val="5"/>
  </w:num>
  <w:num w:numId="5" w16cid:durableId="33701559">
    <w:abstractNumId w:val="47"/>
  </w:num>
  <w:num w:numId="6" w16cid:durableId="1222398239">
    <w:abstractNumId w:val="37"/>
  </w:num>
  <w:num w:numId="7" w16cid:durableId="86508705">
    <w:abstractNumId w:val="87"/>
  </w:num>
  <w:num w:numId="8" w16cid:durableId="2132358091">
    <w:abstractNumId w:val="26"/>
  </w:num>
  <w:num w:numId="9" w16cid:durableId="1538739653">
    <w:abstractNumId w:val="82"/>
  </w:num>
  <w:num w:numId="10" w16cid:durableId="1812475160">
    <w:abstractNumId w:val="58"/>
  </w:num>
  <w:num w:numId="11" w16cid:durableId="1705862184">
    <w:abstractNumId w:val="61"/>
  </w:num>
  <w:num w:numId="12" w16cid:durableId="544223079">
    <w:abstractNumId w:val="32"/>
  </w:num>
  <w:num w:numId="13" w16cid:durableId="1424953882">
    <w:abstractNumId w:val="4"/>
  </w:num>
  <w:num w:numId="14" w16cid:durableId="897327711">
    <w:abstractNumId w:val="18"/>
  </w:num>
  <w:num w:numId="15" w16cid:durableId="1210846706">
    <w:abstractNumId w:val="7"/>
  </w:num>
  <w:num w:numId="16" w16cid:durableId="2061203514">
    <w:abstractNumId w:val="59"/>
  </w:num>
  <w:num w:numId="17" w16cid:durableId="603656031">
    <w:abstractNumId w:val="35"/>
  </w:num>
  <w:num w:numId="18" w16cid:durableId="1874728145">
    <w:abstractNumId w:val="76"/>
  </w:num>
  <w:num w:numId="19" w16cid:durableId="262496829">
    <w:abstractNumId w:val="81"/>
  </w:num>
  <w:num w:numId="20" w16cid:durableId="1253197142">
    <w:abstractNumId w:val="80"/>
  </w:num>
  <w:num w:numId="21" w16cid:durableId="1855877102">
    <w:abstractNumId w:val="79"/>
  </w:num>
  <w:num w:numId="22" w16cid:durableId="1796168278">
    <w:abstractNumId w:val="34"/>
  </w:num>
  <w:num w:numId="23" w16cid:durableId="1605377320">
    <w:abstractNumId w:val="54"/>
  </w:num>
  <w:num w:numId="24" w16cid:durableId="275603718">
    <w:abstractNumId w:val="43"/>
  </w:num>
  <w:num w:numId="25" w16cid:durableId="1873612268">
    <w:abstractNumId w:val="25"/>
  </w:num>
  <w:num w:numId="26" w16cid:durableId="1637105941">
    <w:abstractNumId w:val="22"/>
  </w:num>
  <w:num w:numId="27" w16cid:durableId="825434550">
    <w:abstractNumId w:val="66"/>
  </w:num>
  <w:num w:numId="28" w16cid:durableId="296304040">
    <w:abstractNumId w:val="42"/>
  </w:num>
  <w:num w:numId="29" w16cid:durableId="29451606">
    <w:abstractNumId w:val="23"/>
  </w:num>
  <w:num w:numId="30" w16cid:durableId="1598172344">
    <w:abstractNumId w:val="48"/>
  </w:num>
  <w:num w:numId="31" w16cid:durableId="622276217">
    <w:abstractNumId w:val="52"/>
  </w:num>
  <w:num w:numId="32" w16cid:durableId="598564811">
    <w:abstractNumId w:val="67"/>
  </w:num>
  <w:num w:numId="33" w16cid:durableId="1385981925">
    <w:abstractNumId w:val="65"/>
  </w:num>
  <w:num w:numId="34" w16cid:durableId="1583023182">
    <w:abstractNumId w:val="50"/>
  </w:num>
  <w:num w:numId="35" w16cid:durableId="1090389121">
    <w:abstractNumId w:val="55"/>
  </w:num>
  <w:num w:numId="36" w16cid:durableId="1900553565">
    <w:abstractNumId w:val="73"/>
  </w:num>
  <w:num w:numId="37" w16cid:durableId="684404239">
    <w:abstractNumId w:val="39"/>
  </w:num>
  <w:num w:numId="38" w16cid:durableId="565457539">
    <w:abstractNumId w:val="72"/>
  </w:num>
  <w:num w:numId="39" w16cid:durableId="946690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3853464">
    <w:abstractNumId w:val="78"/>
  </w:num>
  <w:num w:numId="41" w16cid:durableId="1701473643">
    <w:abstractNumId w:val="84"/>
  </w:num>
  <w:num w:numId="42" w16cid:durableId="610939016">
    <w:abstractNumId w:val="57"/>
  </w:num>
  <w:num w:numId="43" w16cid:durableId="692415176">
    <w:abstractNumId w:val="40"/>
  </w:num>
  <w:num w:numId="44" w16cid:durableId="1906448933">
    <w:abstractNumId w:val="74"/>
  </w:num>
  <w:num w:numId="45" w16cid:durableId="1917468534">
    <w:abstractNumId w:val="6"/>
  </w:num>
  <w:num w:numId="46" w16cid:durableId="1903175181">
    <w:abstractNumId w:val="21"/>
  </w:num>
  <w:num w:numId="47" w16cid:durableId="1201672668">
    <w:abstractNumId w:val="33"/>
  </w:num>
  <w:num w:numId="48" w16cid:durableId="670177409">
    <w:abstractNumId w:val="27"/>
  </w:num>
  <w:num w:numId="49" w16cid:durableId="1872915238">
    <w:abstractNumId w:val="13"/>
  </w:num>
  <w:num w:numId="50" w16cid:durableId="1961448876">
    <w:abstractNumId w:val="85"/>
  </w:num>
  <w:num w:numId="51" w16cid:durableId="1816531781">
    <w:abstractNumId w:val="46"/>
  </w:num>
  <w:num w:numId="52" w16cid:durableId="1098868075">
    <w:abstractNumId w:val="16"/>
  </w:num>
  <w:num w:numId="53" w16cid:durableId="386489961">
    <w:abstractNumId w:val="29"/>
  </w:num>
  <w:num w:numId="54" w16cid:durableId="2140954131">
    <w:abstractNumId w:val="69"/>
  </w:num>
  <w:num w:numId="55" w16cid:durableId="21379156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6078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230230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1557499">
    <w:abstractNumId w:val="8"/>
  </w:num>
  <w:num w:numId="59" w16cid:durableId="52315151">
    <w:abstractNumId w:val="3"/>
  </w:num>
  <w:num w:numId="60" w16cid:durableId="1013144290">
    <w:abstractNumId w:val="49"/>
  </w:num>
  <w:num w:numId="61" w16cid:durableId="204292935">
    <w:abstractNumId w:val="51"/>
  </w:num>
  <w:num w:numId="62" w16cid:durableId="1390347177">
    <w:abstractNumId w:val="14"/>
  </w:num>
  <w:num w:numId="63" w16cid:durableId="65568310">
    <w:abstractNumId w:val="62"/>
  </w:num>
  <w:num w:numId="64" w16cid:durableId="1345323924">
    <w:abstractNumId w:val="45"/>
  </w:num>
  <w:num w:numId="65" w16cid:durableId="1382905774">
    <w:abstractNumId w:val="44"/>
  </w:num>
  <w:num w:numId="66" w16cid:durableId="2067096391">
    <w:abstractNumId w:val="68"/>
  </w:num>
  <w:num w:numId="67" w16cid:durableId="1050416695">
    <w:abstractNumId w:val="75"/>
  </w:num>
  <w:num w:numId="68" w16cid:durableId="313527094">
    <w:abstractNumId w:val="30"/>
  </w:num>
  <w:num w:numId="69" w16cid:durableId="84232248">
    <w:abstractNumId w:val="9"/>
  </w:num>
  <w:num w:numId="70" w16cid:durableId="1612859310">
    <w:abstractNumId w:val="12"/>
  </w:num>
  <w:num w:numId="71" w16cid:durableId="1698266623">
    <w:abstractNumId w:val="38"/>
  </w:num>
  <w:num w:numId="72" w16cid:durableId="1321423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793252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6060558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802806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17974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95780518">
    <w:abstractNumId w:val="24"/>
  </w:num>
  <w:num w:numId="78" w16cid:durableId="384723810">
    <w:abstractNumId w:val="11"/>
  </w:num>
  <w:num w:numId="79" w16cid:durableId="164307499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97114863">
    <w:abstractNumId w:val="71"/>
  </w:num>
  <w:num w:numId="81" w16cid:durableId="1432967416">
    <w:abstractNumId w:val="83"/>
  </w:num>
  <w:num w:numId="82" w16cid:durableId="4775725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95815918">
    <w:abstractNumId w:val="56"/>
  </w:num>
  <w:num w:numId="84" w16cid:durableId="1711151734">
    <w:abstractNumId w:val="10"/>
  </w:num>
  <w:num w:numId="85" w16cid:durableId="1565531259">
    <w:abstractNumId w:val="17"/>
  </w:num>
  <w:num w:numId="86" w16cid:durableId="1962372009">
    <w:abstractNumId w:val="15"/>
  </w:num>
  <w:num w:numId="87" w16cid:durableId="46060945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23F9"/>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63F"/>
    <w:rsid w:val="00013746"/>
    <w:rsid w:val="00014849"/>
    <w:rsid w:val="00014CFE"/>
    <w:rsid w:val="00015B07"/>
    <w:rsid w:val="00016597"/>
    <w:rsid w:val="000166F1"/>
    <w:rsid w:val="00017B59"/>
    <w:rsid w:val="00017E7A"/>
    <w:rsid w:val="0002011C"/>
    <w:rsid w:val="000201FC"/>
    <w:rsid w:val="00020358"/>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1A"/>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5E6A"/>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3F02"/>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086"/>
    <w:rsid w:val="00084360"/>
    <w:rsid w:val="00084397"/>
    <w:rsid w:val="000843E6"/>
    <w:rsid w:val="000845EA"/>
    <w:rsid w:val="00084DD1"/>
    <w:rsid w:val="00084FF2"/>
    <w:rsid w:val="0008512F"/>
    <w:rsid w:val="000851EB"/>
    <w:rsid w:val="0008570B"/>
    <w:rsid w:val="0008594E"/>
    <w:rsid w:val="00085E20"/>
    <w:rsid w:val="0008659C"/>
    <w:rsid w:val="00086B8D"/>
    <w:rsid w:val="00087487"/>
    <w:rsid w:val="00090259"/>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CCC"/>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3891"/>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1C4E"/>
    <w:rsid w:val="0018248D"/>
    <w:rsid w:val="00182801"/>
    <w:rsid w:val="00183273"/>
    <w:rsid w:val="0018346A"/>
    <w:rsid w:val="00183E76"/>
    <w:rsid w:val="00184C7B"/>
    <w:rsid w:val="00186AA5"/>
    <w:rsid w:val="001870C9"/>
    <w:rsid w:val="00187A33"/>
    <w:rsid w:val="00187B56"/>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9C5"/>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39"/>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5C27"/>
    <w:rsid w:val="00206728"/>
    <w:rsid w:val="002071A3"/>
    <w:rsid w:val="002076EE"/>
    <w:rsid w:val="00210095"/>
    <w:rsid w:val="00211590"/>
    <w:rsid w:val="0021167F"/>
    <w:rsid w:val="00211F1B"/>
    <w:rsid w:val="00212A41"/>
    <w:rsid w:val="002130BD"/>
    <w:rsid w:val="002138C8"/>
    <w:rsid w:val="00213926"/>
    <w:rsid w:val="0021397C"/>
    <w:rsid w:val="00213E41"/>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131"/>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1E2"/>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96D"/>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893"/>
    <w:rsid w:val="002B3930"/>
    <w:rsid w:val="002B3ADB"/>
    <w:rsid w:val="002B3EFF"/>
    <w:rsid w:val="002B44ED"/>
    <w:rsid w:val="002B49B6"/>
    <w:rsid w:val="002B517D"/>
    <w:rsid w:val="002B58FB"/>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2B44"/>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0A6"/>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534"/>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4463"/>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3F40"/>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3A84"/>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606"/>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96"/>
    <w:rsid w:val="004436DF"/>
    <w:rsid w:val="00444240"/>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9D0"/>
    <w:rsid w:val="00454C77"/>
    <w:rsid w:val="00454EBB"/>
    <w:rsid w:val="004553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5D5"/>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92D"/>
    <w:rsid w:val="004A2D75"/>
    <w:rsid w:val="004A2D86"/>
    <w:rsid w:val="004A3439"/>
    <w:rsid w:val="004A375F"/>
    <w:rsid w:val="004A3A94"/>
    <w:rsid w:val="004A3F65"/>
    <w:rsid w:val="004A4064"/>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1ED9"/>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0DC"/>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5A57"/>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77B"/>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1E6"/>
    <w:rsid w:val="005649E5"/>
    <w:rsid w:val="00564D3C"/>
    <w:rsid w:val="00565959"/>
    <w:rsid w:val="00565AA5"/>
    <w:rsid w:val="00565B80"/>
    <w:rsid w:val="00565CCA"/>
    <w:rsid w:val="00565CE1"/>
    <w:rsid w:val="0056697F"/>
    <w:rsid w:val="005669AA"/>
    <w:rsid w:val="00566F5C"/>
    <w:rsid w:val="00567A43"/>
    <w:rsid w:val="00567B6D"/>
    <w:rsid w:val="00567F5D"/>
    <w:rsid w:val="005701FE"/>
    <w:rsid w:val="0057042A"/>
    <w:rsid w:val="00570AEC"/>
    <w:rsid w:val="00570D12"/>
    <w:rsid w:val="0057287C"/>
    <w:rsid w:val="00572D05"/>
    <w:rsid w:val="00572D09"/>
    <w:rsid w:val="00572D0F"/>
    <w:rsid w:val="00572F2B"/>
    <w:rsid w:val="0057368C"/>
    <w:rsid w:val="00573822"/>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5BF"/>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3E89"/>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BD1"/>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893"/>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49F"/>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A78AD"/>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964"/>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4F7"/>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0B6"/>
    <w:rsid w:val="0072226E"/>
    <w:rsid w:val="007227EF"/>
    <w:rsid w:val="0072281B"/>
    <w:rsid w:val="007228BC"/>
    <w:rsid w:val="00722E4B"/>
    <w:rsid w:val="00723198"/>
    <w:rsid w:val="00723209"/>
    <w:rsid w:val="007237F5"/>
    <w:rsid w:val="00723C67"/>
    <w:rsid w:val="00723D34"/>
    <w:rsid w:val="00723E96"/>
    <w:rsid w:val="0072469C"/>
    <w:rsid w:val="00724ADD"/>
    <w:rsid w:val="00724BB2"/>
    <w:rsid w:val="00725104"/>
    <w:rsid w:val="00725A2B"/>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AE"/>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1A2A"/>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346"/>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5D4B"/>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21B2"/>
    <w:rsid w:val="007B38A4"/>
    <w:rsid w:val="007B3DC6"/>
    <w:rsid w:val="007B4260"/>
    <w:rsid w:val="007B49D6"/>
    <w:rsid w:val="007B54F2"/>
    <w:rsid w:val="007B5FB8"/>
    <w:rsid w:val="007B6628"/>
    <w:rsid w:val="007B6AE0"/>
    <w:rsid w:val="007B79E5"/>
    <w:rsid w:val="007B7AB1"/>
    <w:rsid w:val="007C0926"/>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152"/>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509B"/>
    <w:rsid w:val="00815E85"/>
    <w:rsid w:val="00816132"/>
    <w:rsid w:val="00816179"/>
    <w:rsid w:val="008163E4"/>
    <w:rsid w:val="0081650D"/>
    <w:rsid w:val="00816523"/>
    <w:rsid w:val="0081698E"/>
    <w:rsid w:val="00817F25"/>
    <w:rsid w:val="0082092F"/>
    <w:rsid w:val="00821F42"/>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79C"/>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50"/>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2FDA"/>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282D"/>
    <w:rsid w:val="008932A4"/>
    <w:rsid w:val="008939F1"/>
    <w:rsid w:val="00893D44"/>
    <w:rsid w:val="00895305"/>
    <w:rsid w:val="00895F30"/>
    <w:rsid w:val="00896019"/>
    <w:rsid w:val="00896C46"/>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61"/>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1D7E"/>
    <w:rsid w:val="009324EB"/>
    <w:rsid w:val="009332F2"/>
    <w:rsid w:val="009332F8"/>
    <w:rsid w:val="00933798"/>
    <w:rsid w:val="00933C8B"/>
    <w:rsid w:val="0093464C"/>
    <w:rsid w:val="0093534C"/>
    <w:rsid w:val="00935565"/>
    <w:rsid w:val="0093571E"/>
    <w:rsid w:val="00937B8D"/>
    <w:rsid w:val="00940D3D"/>
    <w:rsid w:val="00941CA1"/>
    <w:rsid w:val="00942186"/>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081"/>
    <w:rsid w:val="009508A8"/>
    <w:rsid w:val="009514A2"/>
    <w:rsid w:val="00951D87"/>
    <w:rsid w:val="00952271"/>
    <w:rsid w:val="009522EA"/>
    <w:rsid w:val="00952D52"/>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A83"/>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5E6"/>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52E"/>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02"/>
    <w:rsid w:val="00A82D88"/>
    <w:rsid w:val="00A82F19"/>
    <w:rsid w:val="00A8348C"/>
    <w:rsid w:val="00A83926"/>
    <w:rsid w:val="00A83B5D"/>
    <w:rsid w:val="00A84048"/>
    <w:rsid w:val="00A8493D"/>
    <w:rsid w:val="00A84BC9"/>
    <w:rsid w:val="00A851F0"/>
    <w:rsid w:val="00A857A8"/>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3726"/>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2EF6"/>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4B69"/>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574B"/>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47A66"/>
    <w:rsid w:val="00B507F3"/>
    <w:rsid w:val="00B51349"/>
    <w:rsid w:val="00B513C8"/>
    <w:rsid w:val="00B52344"/>
    <w:rsid w:val="00B52BB9"/>
    <w:rsid w:val="00B53515"/>
    <w:rsid w:val="00B5374C"/>
    <w:rsid w:val="00B53804"/>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0E0"/>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4D9C"/>
    <w:rsid w:val="00B850D6"/>
    <w:rsid w:val="00B8599B"/>
    <w:rsid w:val="00B859A6"/>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8A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07D5"/>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149C"/>
    <w:rsid w:val="00C22A5F"/>
    <w:rsid w:val="00C22B08"/>
    <w:rsid w:val="00C230E1"/>
    <w:rsid w:val="00C24662"/>
    <w:rsid w:val="00C24FDE"/>
    <w:rsid w:val="00C25202"/>
    <w:rsid w:val="00C25280"/>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1C2B"/>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197"/>
    <w:rsid w:val="00C6147D"/>
    <w:rsid w:val="00C61FAB"/>
    <w:rsid w:val="00C62DAF"/>
    <w:rsid w:val="00C62FEC"/>
    <w:rsid w:val="00C63371"/>
    <w:rsid w:val="00C63F2B"/>
    <w:rsid w:val="00C6400A"/>
    <w:rsid w:val="00C658C0"/>
    <w:rsid w:val="00C669DF"/>
    <w:rsid w:val="00C669F9"/>
    <w:rsid w:val="00C66C93"/>
    <w:rsid w:val="00C67E30"/>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2BE"/>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437"/>
    <w:rsid w:val="00CE3DFD"/>
    <w:rsid w:val="00CE3F63"/>
    <w:rsid w:val="00CE437E"/>
    <w:rsid w:val="00CE43E2"/>
    <w:rsid w:val="00CE4606"/>
    <w:rsid w:val="00CE4681"/>
    <w:rsid w:val="00CE5088"/>
    <w:rsid w:val="00CE51F3"/>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41D"/>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A32"/>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5A"/>
    <w:rsid w:val="00D857D2"/>
    <w:rsid w:val="00D858BB"/>
    <w:rsid w:val="00D85B57"/>
    <w:rsid w:val="00D85C2F"/>
    <w:rsid w:val="00D85D60"/>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868"/>
    <w:rsid w:val="00DA5F30"/>
    <w:rsid w:val="00DA6451"/>
    <w:rsid w:val="00DA65AC"/>
    <w:rsid w:val="00DA6B70"/>
    <w:rsid w:val="00DA76C8"/>
    <w:rsid w:val="00DA779D"/>
    <w:rsid w:val="00DA7A39"/>
    <w:rsid w:val="00DB0CE6"/>
    <w:rsid w:val="00DB0EE7"/>
    <w:rsid w:val="00DB134A"/>
    <w:rsid w:val="00DB13D2"/>
    <w:rsid w:val="00DB1B25"/>
    <w:rsid w:val="00DB21C5"/>
    <w:rsid w:val="00DB2786"/>
    <w:rsid w:val="00DB2B61"/>
    <w:rsid w:val="00DB2BBE"/>
    <w:rsid w:val="00DB30E5"/>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030E"/>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26C"/>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AE0"/>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BBD"/>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406"/>
    <w:rsid w:val="00E51964"/>
    <w:rsid w:val="00E52909"/>
    <w:rsid w:val="00E52FF6"/>
    <w:rsid w:val="00E53822"/>
    <w:rsid w:val="00E541C1"/>
    <w:rsid w:val="00E545B0"/>
    <w:rsid w:val="00E548AA"/>
    <w:rsid w:val="00E54AC9"/>
    <w:rsid w:val="00E54AED"/>
    <w:rsid w:val="00E557BB"/>
    <w:rsid w:val="00E55E66"/>
    <w:rsid w:val="00E55ED8"/>
    <w:rsid w:val="00E56B8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5E57"/>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679"/>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9D9"/>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0C"/>
    <w:rsid w:val="00EF518A"/>
    <w:rsid w:val="00EF58D9"/>
    <w:rsid w:val="00EF5924"/>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0CA7"/>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A29"/>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725"/>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420"/>
    <w:rsid w:val="00F96752"/>
    <w:rsid w:val="00F96F93"/>
    <w:rsid w:val="00F97889"/>
    <w:rsid w:val="00F97C14"/>
    <w:rsid w:val="00F97DC8"/>
    <w:rsid w:val="00F97EE5"/>
    <w:rsid w:val="00F9D916"/>
    <w:rsid w:val="00FA0493"/>
    <w:rsid w:val="00FA0C58"/>
    <w:rsid w:val="00FA168D"/>
    <w:rsid w:val="00FA282A"/>
    <w:rsid w:val="00FA30E8"/>
    <w:rsid w:val="00FA4CC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3B4"/>
    <w:rsid w:val="00FB24B1"/>
    <w:rsid w:val="00FB28A6"/>
    <w:rsid w:val="00FB2E38"/>
    <w:rsid w:val="00FB2E9D"/>
    <w:rsid w:val="00FB2EEF"/>
    <w:rsid w:val="00FB2F42"/>
    <w:rsid w:val="00FB342E"/>
    <w:rsid w:val="00FB3A86"/>
    <w:rsid w:val="00FB3B5C"/>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1EEF"/>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332E"/>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qFormat/>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uiPriority w:val="22"/>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564D3C"/>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E5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797532202">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883905932">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2.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BC5308-35AA-4110-B99C-FD2BA194095D}">
  <ds:schemaRefs>
    <ds:schemaRef ds:uri="http://schemas.openxmlformats.org/officeDocument/2006/bibliography"/>
  </ds:schemaRefs>
</ds:datastoreItem>
</file>

<file path=customXml/itemProps4.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15040</Words>
  <Characters>90246</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Tyszkiewicz Marcin</cp:lastModifiedBy>
  <cp:revision>2</cp:revision>
  <cp:lastPrinted>2024-11-25T09:33:00Z</cp:lastPrinted>
  <dcterms:created xsi:type="dcterms:W3CDTF">2024-12-05T07:30:00Z</dcterms:created>
  <dcterms:modified xsi:type="dcterms:W3CDTF">2024-12-05T07:30:00Z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