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10A45A9F" w:rsidR="00347C07" w:rsidRPr="004D7E1B" w:rsidRDefault="006516BC" w:rsidP="004956C2">
      <w:pPr>
        <w:autoSpaceDE w:val="0"/>
        <w:autoSpaceDN w:val="0"/>
        <w:adjustRightInd w:val="0"/>
        <w:spacing w:before="60" w:after="60" w:line="276" w:lineRule="auto"/>
        <w:ind w:left="5812" w:hanging="992"/>
        <w:jc w:val="both"/>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655F76">
        <w:rPr>
          <w:rFonts w:ascii="Arial" w:hAnsi="Arial" w:cs="Arial"/>
          <w:bCs/>
        </w:rPr>
        <w:t xml:space="preserve"> 655</w:t>
      </w:r>
      <w:r w:rsidR="00A31084">
        <w:rPr>
          <w:rFonts w:ascii="Arial" w:hAnsi="Arial" w:cs="Arial"/>
          <w:bCs/>
        </w:rPr>
        <w:t>/</w:t>
      </w:r>
      <w:r w:rsidR="00655F76">
        <w:rPr>
          <w:rFonts w:ascii="Arial" w:hAnsi="Arial" w:cs="Arial"/>
          <w:bCs/>
        </w:rPr>
        <w:t>18</w:t>
      </w:r>
      <w:r w:rsidR="00635450">
        <w:rPr>
          <w:rFonts w:ascii="Arial" w:hAnsi="Arial" w:cs="Arial"/>
          <w:bCs/>
        </w:rPr>
        <w:t>/</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337841B2"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655F76">
        <w:rPr>
          <w:rFonts w:ascii="Arial" w:hAnsi="Arial" w:cs="Arial"/>
          <w:bCs/>
        </w:rPr>
        <w:t xml:space="preserve">13 sierpnia </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Instrumentu Wsparcia Finansowego na rzecz Zarządzania Granicami i Polityki Wizowej (Dz. Urz. UE L 231 z 30.06.2021, str. 159, z późn.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8CD86EC"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0A7A59">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0A7A59">
        <w:rPr>
          <w:rFonts w:ascii="Arial" w:hAnsi="Arial" w:cs="Arial"/>
        </w:rPr>
        <w:t> </w:t>
      </w:r>
      <w:r w:rsidRPr="00AF1C77">
        <w:rPr>
          <w:rFonts w:ascii="Arial" w:hAnsi="Arial" w:cs="Arial"/>
        </w:rPr>
        <w:t>ochronie danych) (Dz. Urz. UE L 119 z 04.05.2016, str. 1, z późn.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4D98A125" w14:textId="31F6A900" w:rsidR="00FB5DB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0DF23B28" w14:textId="3A2F96CF" w:rsidR="0085489A" w:rsidRPr="0085489A"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rial" w:hAnsi="Arial" w:cs="Arial"/>
        </w:rPr>
      </w:pPr>
      <w:r w:rsidRPr="0085489A">
        <w:rPr>
          <w:rFonts w:ascii="Arial" w:hAnsi="Arial" w:cs="Arial"/>
        </w:rPr>
        <w:t xml:space="preserve">rozporządzenia Ministra Funduszy i Polityki Regionalnej </w:t>
      </w:r>
      <w:r w:rsidR="000A7A59">
        <w:rPr>
          <w:rFonts w:ascii="Arial" w:hAnsi="Arial" w:cs="Arial"/>
        </w:rPr>
        <w:t xml:space="preserve">z dnia 20 grudnia 2022 r. </w:t>
      </w:r>
      <w:r w:rsidRPr="0085489A">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z późn.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4956C2">
      <w:pPr>
        <w:pStyle w:val="Nagwek2"/>
      </w:pPr>
      <w:r w:rsidRPr="008B0D0D">
        <w:lastRenderedPageBreak/>
        <w:t>Definicje</w:t>
      </w:r>
    </w:p>
    <w:p w14:paraId="7B173FAA" w14:textId="73F268C7" w:rsidR="006516BC" w:rsidRPr="008B0D0D" w:rsidRDefault="006516BC" w:rsidP="001910BA">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38B1949D"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działając</w:t>
      </w:r>
      <w:r w:rsidR="000A7A59">
        <w:rPr>
          <w:rFonts w:ascii="Arial" w:hAnsi="Arial" w:cs="Arial"/>
          <w:bCs/>
        </w:rPr>
        <w:t>ą</w:t>
      </w:r>
      <w:r w:rsidR="00B969EB">
        <w:rPr>
          <w:rFonts w:ascii="Arial" w:hAnsi="Arial" w:cs="Arial"/>
          <w:bCs/>
        </w:rPr>
        <w:t xml:space="preserve">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 xml:space="preserve">dofinansowanie Projektu, realizowane </w:t>
      </w:r>
      <w:r w:rsidRPr="00E007B0">
        <w:rPr>
          <w:rFonts w:ascii="Arial" w:hAnsi="Arial" w:cs="Arial"/>
          <w:bCs/>
        </w:rPr>
        <w:lastRenderedPageBreak/>
        <w:t>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z zachowaniem uczciwej </w:t>
      </w:r>
      <w:r w:rsidRPr="00E007B0">
        <w:rPr>
          <w:rFonts w:ascii="Arial" w:hAnsi="Arial" w:cs="Arial"/>
          <w:bCs/>
        </w:rPr>
        <w:lastRenderedPageBreak/>
        <w:t>konkurencji i równego traktowania wykonawców zgodnie z Wytycznymi dotyczącymi kwalifikowalności wydatków na lata 2021-2027.</w:t>
      </w:r>
    </w:p>
    <w:p w14:paraId="657D8798" w14:textId="6D063AAB" w:rsidR="009460D9" w:rsidRPr="00AF1C77" w:rsidRDefault="008F7D17" w:rsidP="004956C2">
      <w:pPr>
        <w:pStyle w:val="Nagwek2"/>
      </w:pPr>
      <w:r w:rsidRPr="00AF1C77">
        <w:t xml:space="preserve">Przedmiot </w:t>
      </w:r>
      <w:r w:rsidR="0096603F">
        <w:t>Porozumienia</w:t>
      </w:r>
    </w:p>
    <w:p w14:paraId="1BC7CA7B" w14:textId="780B55F6" w:rsidR="008F7D17" w:rsidRPr="00AF1C77" w:rsidRDefault="008F7D17" w:rsidP="001910BA">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1910BA">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48BBC6E9" w14:textId="00C5F8C8" w:rsidR="001F30BE" w:rsidRDefault="001F30BE" w:rsidP="001910BA">
      <w:pPr>
        <w:pStyle w:val="Nagwek3"/>
      </w:pPr>
      <w:r w:rsidRPr="00AF1C77">
        <w:t>§</w:t>
      </w:r>
      <w:r w:rsidR="007A3937">
        <w:t xml:space="preserve"> </w:t>
      </w:r>
      <w:r>
        <w:t>3a</w:t>
      </w:r>
    </w:p>
    <w:p w14:paraId="26E791D3" w14:textId="159036D2" w:rsidR="0085489A" w:rsidRDefault="0085489A" w:rsidP="000A3B9E">
      <w:pPr>
        <w:autoSpaceDE w:val="0"/>
        <w:autoSpaceDN w:val="0"/>
        <w:adjustRightInd w:val="0"/>
        <w:spacing w:line="276" w:lineRule="auto"/>
        <w:ind w:left="426" w:hanging="426"/>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sidRPr="00446097">
        <w:rPr>
          <w:rFonts w:ascii="Arial" w:eastAsiaTheme="minorHAnsi" w:hAnsi="Arial" w:cs="Arial"/>
          <w:color w:val="000000"/>
          <w:lang w:eastAsia="en-US"/>
        </w:rPr>
        <w:t>oraz odpowiednio Partner/rzy</w:t>
      </w:r>
      <w:r>
        <w:rPr>
          <w:rFonts w:ascii="Arial" w:eastAsiaTheme="minorHAnsi" w:hAnsi="Arial" w:cs="Arial"/>
          <w:i/>
          <w:iCs/>
          <w:color w:val="000000"/>
          <w:lang w:eastAsia="en-US"/>
        </w:rPr>
        <w:t xml:space="preserve"> </w:t>
      </w:r>
      <w:r>
        <w:rPr>
          <w:rFonts w:ascii="Arial" w:eastAsiaTheme="minorHAnsi" w:hAnsi="Arial" w:cs="Arial"/>
          <w:color w:val="000000"/>
          <w:lang w:eastAsia="en-US"/>
        </w:rPr>
        <w:t>zobowiązują się w szczególności do udzielania uczestnikom Projektu (lub innym podmiotom objętych  wsparciem) pomocy publicznej lub pomocy de minimis w</w:t>
      </w:r>
      <w:r w:rsidR="00A96D47">
        <w:rPr>
          <w:rFonts w:ascii="Arial" w:eastAsiaTheme="minorHAnsi" w:hAnsi="Arial" w:cs="Arial"/>
          <w:color w:val="000000"/>
          <w:lang w:eastAsia="en-US"/>
        </w:rPr>
        <w:t> </w:t>
      </w:r>
      <w:r>
        <w:rPr>
          <w:rFonts w:ascii="Arial" w:eastAsiaTheme="minorHAnsi" w:hAnsi="Arial" w:cs="Arial"/>
          <w:color w:val="000000"/>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3A088AAA" w14:textId="3ABE3E35"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r w:rsidR="000A3B9E">
        <w:rPr>
          <w:rFonts w:ascii="Arial" w:eastAsiaTheme="minorHAnsi" w:hAnsi="Arial" w:cs="Arial"/>
          <w:lang w:eastAsia="en-US"/>
        </w:rPr>
        <w:t xml:space="preserve"> </w:t>
      </w:r>
      <w:r>
        <w:rPr>
          <w:rFonts w:ascii="Arial" w:eastAsiaTheme="minorHAnsi" w:hAnsi="Arial" w:cs="Arial"/>
          <w:lang w:eastAsia="en-US"/>
        </w:rPr>
        <w:t>rozporządzenia Komisji (UE) nr 2023/2831 z dnia 13 grudnia 2023 r. w</w:t>
      </w:r>
      <w:r w:rsidR="00A96D47">
        <w:rPr>
          <w:rFonts w:ascii="Arial" w:eastAsiaTheme="minorHAnsi" w:hAnsi="Arial" w:cs="Arial"/>
          <w:lang w:eastAsia="en-US"/>
        </w:rPr>
        <w:t> </w:t>
      </w:r>
      <w:r>
        <w:rPr>
          <w:rFonts w:ascii="Arial" w:eastAsiaTheme="minorHAnsi" w:hAnsi="Arial" w:cs="Arial"/>
          <w:lang w:eastAsia="en-US"/>
        </w:rPr>
        <w:t>sprawie</w:t>
      </w:r>
      <w:r w:rsidR="000A3B9E">
        <w:rPr>
          <w:rFonts w:ascii="Arial" w:eastAsiaTheme="minorHAnsi" w:hAnsi="Arial" w:cs="Arial"/>
          <w:lang w:eastAsia="en-US"/>
        </w:rPr>
        <w:t xml:space="preserve"> </w:t>
      </w: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r w:rsidR="000A3B9E">
        <w:rPr>
          <w:rFonts w:ascii="Arial" w:eastAsiaTheme="minorHAnsi" w:hAnsi="Arial" w:cs="Arial"/>
          <w:lang w:eastAsia="en-US"/>
        </w:rPr>
        <w:t xml:space="preserve"> </w:t>
      </w: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r w:rsidR="000A3B9E">
        <w:rPr>
          <w:rFonts w:ascii="Arial" w:eastAsiaTheme="minorHAnsi" w:hAnsi="Arial" w:cs="Arial"/>
          <w:lang w:eastAsia="en-US"/>
        </w:rPr>
        <w:t xml:space="preserve"> </w:t>
      </w:r>
      <w:r>
        <w:rPr>
          <w:rFonts w:ascii="Arial" w:eastAsiaTheme="minorHAnsi" w:hAnsi="Arial" w:cs="Arial"/>
          <w:lang w:eastAsia="en-US"/>
        </w:rPr>
        <w:t>2023/2831”.</w:t>
      </w:r>
    </w:p>
    <w:p w14:paraId="74BC669C" w14:textId="5ECAA188"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w:t>
      </w:r>
      <w:r w:rsidR="00A96D47">
        <w:rPr>
          <w:rFonts w:ascii="Arial" w:eastAsiaTheme="minorHAnsi" w:hAnsi="Arial" w:cs="Arial"/>
          <w:lang w:eastAsia="en-US"/>
        </w:rPr>
        <w:t> </w:t>
      </w:r>
      <w:r>
        <w:rPr>
          <w:rFonts w:ascii="Arial" w:eastAsiaTheme="minorHAnsi" w:hAnsi="Arial" w:cs="Arial"/>
          <w:lang w:eastAsia="en-US"/>
        </w:rPr>
        <w:t xml:space="preserve">okresie trzech minionych lat (bezpośrednio poprzedzających dzień udzielenia pomocy de minimis) z różnych źródeł i w różnych formach, jej wielkość nie </w:t>
      </w:r>
      <w:r>
        <w:rPr>
          <w:rFonts w:ascii="Arial" w:eastAsiaTheme="minorHAnsi" w:hAnsi="Arial" w:cs="Arial"/>
          <w:lang w:eastAsia="en-US"/>
        </w:rPr>
        <w:lastRenderedPageBreak/>
        <w:t>przekroczy kwoty  300 000 euro dla jednego przedsiębiorstwa w rozumieniu art. 2 ust. 2 rozporządzenia 2023/2831.</w:t>
      </w:r>
    </w:p>
    <w:p w14:paraId="7AB95A1E"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5. Beneficjent zobowiązuje się do:</w:t>
      </w:r>
    </w:p>
    <w:p w14:paraId="33C31D05"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5F3D26DA"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8085176"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0229F4A9"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1E9BB43D"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565E4E85"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7AF7244C"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76386B98" w14:textId="12C1BD32" w:rsidR="0085489A" w:rsidRPr="001A2D93" w:rsidRDefault="0085489A" w:rsidP="001A2D93">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3) wystawiania przedsiębiorcy zaświadczeń o pomocy de minimis zgodnie z wzorem określonym w rozporządzeniu Rady Ministrów z dnia 20 marca 2007 r. w sprawie zaświadczeń o pomocy de minimis i pomocy de minimis w rolnictwie lub rybołówstwie (</w:t>
      </w:r>
      <w:r w:rsidRPr="001A2D93">
        <w:rPr>
          <w:rFonts w:ascii="Arial" w:eastAsiaTheme="minorHAnsi" w:hAnsi="Arial" w:cs="Arial"/>
          <w:lang w:eastAsia="en-US"/>
        </w:rPr>
        <w:t>Dz. U. z 20</w:t>
      </w:r>
      <w:r w:rsidR="000A3B9E" w:rsidRPr="001A2D93">
        <w:rPr>
          <w:rFonts w:ascii="Arial" w:eastAsiaTheme="minorHAnsi" w:hAnsi="Arial" w:cs="Arial"/>
          <w:lang w:eastAsia="en-US"/>
        </w:rPr>
        <w:t>24</w:t>
      </w:r>
      <w:r w:rsidRPr="001A2D93">
        <w:rPr>
          <w:rFonts w:ascii="Arial" w:eastAsiaTheme="minorHAnsi" w:hAnsi="Arial" w:cs="Arial"/>
          <w:lang w:eastAsia="en-US"/>
        </w:rPr>
        <w:t xml:space="preserve"> r. poz. </w:t>
      </w:r>
      <w:r w:rsidR="000A3B9E" w:rsidRPr="001A2D93">
        <w:rPr>
          <w:rFonts w:ascii="Arial" w:eastAsiaTheme="minorHAnsi" w:hAnsi="Arial" w:cs="Arial"/>
          <w:lang w:eastAsia="en-US"/>
        </w:rPr>
        <w:t>976</w:t>
      </w:r>
      <w:r w:rsidRPr="001A2D93">
        <w:rPr>
          <w:rFonts w:ascii="Arial" w:eastAsiaTheme="minorHAnsi" w:hAnsi="Arial" w:cs="Arial"/>
          <w:lang w:eastAsia="en-US"/>
        </w:rPr>
        <w:t>).</w:t>
      </w:r>
    </w:p>
    <w:p w14:paraId="6D84AD50" w14:textId="20890143"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w:t>
      </w:r>
      <w:r w:rsidR="001A2D93">
        <w:rPr>
          <w:rFonts w:ascii="Arial" w:eastAsiaTheme="minorHAnsi" w:hAnsi="Arial" w:cs="Arial"/>
          <w:lang w:eastAsia="en-US"/>
        </w:rPr>
        <w:t> </w:t>
      </w:r>
      <w:r>
        <w:rPr>
          <w:rFonts w:ascii="Arial" w:eastAsiaTheme="minorHAnsi" w:hAnsi="Arial" w:cs="Arial"/>
          <w:lang w:eastAsia="en-US"/>
        </w:rPr>
        <w:t>przedstawiania Prezesowi Urzędu Ochrony Konkurencji i Konsumentów sprawozdań o udzielonej pomocy albo informacji o nieudzieleniu takiej pomocy w</w:t>
      </w:r>
      <w:r w:rsidR="001A2D93">
        <w:rPr>
          <w:rFonts w:ascii="Arial" w:eastAsiaTheme="minorHAnsi" w:hAnsi="Arial" w:cs="Arial"/>
          <w:lang w:eastAsia="en-US"/>
        </w:rPr>
        <w:t> </w:t>
      </w:r>
      <w:r>
        <w:rPr>
          <w:rFonts w:ascii="Arial" w:eastAsiaTheme="minorHAnsi" w:hAnsi="Arial" w:cs="Arial"/>
          <w:lang w:eastAsia="en-US"/>
        </w:rPr>
        <w:t>danym okresie sprawozdawczym, zgodnie z art. 32 ust. 1 ustawy z dnia 30 kwietnia 2004 r. o postępowaniu w sprawach dotyczących pomocy publicznej (Dz.U. z 2023 r. poz. 702).</w:t>
      </w:r>
    </w:p>
    <w:p w14:paraId="15F9C316"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F042C5E" w14:textId="7B394772" w:rsidR="001F30BE" w:rsidRP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AF1C77" w:rsidRDefault="008D288C" w:rsidP="001910BA">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1910BA">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4E403056" w14:textId="0EAB835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A96D47">
        <w:rPr>
          <w:rFonts w:ascii="Arial" w:hAnsi="Arial" w:cs="Arial"/>
          <w:vertAlign w:val="superscript"/>
        </w:rPr>
        <w:t>)</w:t>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85117B8"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0"/>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 ustalenia z organami podatkowymi w</w:t>
      </w:r>
      <w:r w:rsidR="009E67D9">
        <w:rPr>
          <w:rFonts w:ascii="Arial" w:hAnsi="Arial" w:cs="Arial"/>
        </w:rPr>
        <w:t> </w:t>
      </w:r>
      <w:r w:rsidR="00D016DC" w:rsidRPr="3CE686B7">
        <w:rPr>
          <w:rFonts w:ascii="Arial" w:hAnsi="Arial" w:cs="Arial"/>
        </w:rPr>
        <w:t xml:space="preserve">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201AA6">
        <w:rPr>
          <w:rFonts w:ascii="Arial" w:hAnsi="Arial" w:cs="Arial"/>
        </w:rPr>
        <w:t>2024</w:t>
      </w:r>
      <w:r w:rsidR="00201AA6" w:rsidRPr="3CE686B7">
        <w:rPr>
          <w:rFonts w:ascii="Arial" w:hAnsi="Arial" w:cs="Arial"/>
        </w:rPr>
        <w:t xml:space="preserve"> </w:t>
      </w:r>
      <w:r w:rsidR="00B543AA" w:rsidRPr="3CE686B7">
        <w:rPr>
          <w:rFonts w:ascii="Arial" w:hAnsi="Arial" w:cs="Arial"/>
        </w:rPr>
        <w:t xml:space="preserve">r. poz. </w:t>
      </w:r>
      <w:r w:rsidR="00201AA6">
        <w:rPr>
          <w:rFonts w:ascii="Arial" w:hAnsi="Arial" w:cs="Arial"/>
        </w:rPr>
        <w:t>361</w:t>
      </w:r>
      <w:r w:rsidR="00B543AA" w:rsidRPr="3CE686B7">
        <w:rPr>
          <w:rFonts w:ascii="Arial" w:hAnsi="Arial" w:cs="Arial"/>
        </w:rPr>
        <w:t xml:space="preserve">) </w:t>
      </w:r>
      <w:r w:rsidR="00226201" w:rsidRPr="3CE686B7">
        <w:rPr>
          <w:rFonts w:ascii="Arial" w:hAnsi="Arial" w:cs="Arial"/>
        </w:rPr>
        <w:t>wraz z</w:t>
      </w:r>
      <w:r w:rsidR="001A2D93">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lub w</w:t>
      </w:r>
      <w:r w:rsidR="00201AA6">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1"/>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1910BA">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4956C2">
      <w:pPr>
        <w:pStyle w:val="Nagwek2"/>
      </w:pPr>
      <w:r w:rsidRPr="00AF1C77">
        <w:t>Płatności</w:t>
      </w:r>
    </w:p>
    <w:p w14:paraId="06B9B6E7" w14:textId="040F1544" w:rsidR="008F7D17" w:rsidRPr="00AF1C77" w:rsidRDefault="00076322" w:rsidP="001910BA">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3"/>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1910BA">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4"/>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 xml:space="preserve">obowiązującymi przepisami prawa oraz wytycznymi i procedurami </w:t>
      </w:r>
      <w:r w:rsidR="00462F98">
        <w:rPr>
          <w:rFonts w:ascii="Arial" w:hAnsi="Arial" w:cs="Arial"/>
        </w:rPr>
        <w:lastRenderedPageBreak/>
        <w:t>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7238C38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009E3201" w:rsidRPr="00462F98">
        <w:rPr>
          <w:rFonts w:ascii="Arial" w:hAnsi="Arial" w:cs="Arial"/>
        </w:rPr>
        <w:t>płatność</w:t>
      </w:r>
      <w:r w:rsidRPr="00462F98">
        <w:rPr>
          <w:rFonts w:ascii="Arial" w:hAnsi="Arial" w:cs="Arial"/>
        </w:rPr>
        <w:t xml:space="preserve">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AC93ED"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5"/>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9E67D9"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190166F0"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pomiędzy</w:t>
      </w:r>
      <w:r w:rsidR="001A2D93">
        <w:rPr>
          <w:rFonts w:ascii="Arial" w:hAnsi="Arial" w:cs="Arial"/>
        </w:rPr>
        <w:t xml:space="preserve"> </w:t>
      </w:r>
      <w:r w:rsidR="008F7D17" w:rsidRPr="0006138D">
        <w:rPr>
          <w:rFonts w:ascii="Arial" w:hAnsi="Arial" w:cs="Arial"/>
        </w:rPr>
        <w:t xml:space="preserve">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6"/>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1910BA">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8"/>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w:t>
      </w:r>
      <w:r w:rsidR="007F3408" w:rsidRPr="00AF1C77">
        <w:rPr>
          <w:rFonts w:ascii="Arial" w:hAnsi="Arial" w:cs="Arial"/>
        </w:rPr>
        <w:lastRenderedPageBreak/>
        <w:t>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9"/>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1ADC79A2"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5C0A69">
        <w:rPr>
          <w:rFonts w:ascii="Arial" w:hAnsi="Arial" w:cs="Arial"/>
        </w:rPr>
        <w:t xml:space="preserve">2023 </w:t>
      </w:r>
      <w:r w:rsidR="008E2FC8" w:rsidRPr="00AF1C77">
        <w:rPr>
          <w:rFonts w:ascii="Arial" w:hAnsi="Arial" w:cs="Arial"/>
        </w:rPr>
        <w:t xml:space="preserve">r. </w:t>
      </w:r>
      <w:r w:rsidR="00255540" w:rsidRPr="00AF1C77">
        <w:rPr>
          <w:rFonts w:ascii="Arial" w:hAnsi="Arial" w:cs="Arial"/>
        </w:rPr>
        <w:t xml:space="preserve">poz. </w:t>
      </w:r>
      <w:r w:rsidR="005C0A69">
        <w:rPr>
          <w:rFonts w:ascii="Arial" w:hAnsi="Arial" w:cs="Arial"/>
        </w:rPr>
        <w:t>1605</w:t>
      </w:r>
      <w:r w:rsidR="002053E5">
        <w:rPr>
          <w:rFonts w:ascii="Arial" w:hAnsi="Arial" w:cs="Arial"/>
        </w:rPr>
        <w:t>,</w:t>
      </w:r>
      <w:r w:rsidR="006F66C4">
        <w:rPr>
          <w:rFonts w:ascii="Arial" w:hAnsi="Arial" w:cs="Arial"/>
        </w:rPr>
        <w:t xml:space="preserve"> z późn. zm.</w:t>
      </w:r>
      <w:r w:rsidR="00255540" w:rsidRPr="00AF1C77">
        <w:rPr>
          <w:rFonts w:ascii="Arial" w:hAnsi="Arial" w:cs="Arial"/>
        </w:rPr>
        <w:t>)</w:t>
      </w:r>
      <w:r w:rsidRPr="00AF1C77">
        <w:rPr>
          <w:rStyle w:val="Odwoanieprzypisudolnego"/>
          <w:rFonts w:ascii="Arial" w:hAnsi="Arial" w:cs="Arial"/>
        </w:rPr>
        <w:footnoteReference w:id="20"/>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1"/>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1910BA">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Kolejne wersje wniosku o płatność podlegają weryfikacji w terminie do 15 dni roboczych od daty 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 xml:space="preserve">od czego jest </w:t>
      </w:r>
      <w:r w:rsidR="00830408">
        <w:rPr>
          <w:rFonts w:ascii="Arial" w:hAnsi="Arial" w:cs="Arial"/>
        </w:rPr>
        <w:lastRenderedPageBreak/>
        <w:t>uwarunkowane zatwierdzenie końcowego wniosku o płatność i rozliczenie Projektu.</w:t>
      </w:r>
    </w:p>
    <w:p w14:paraId="72BE3467" w14:textId="4330CF80" w:rsidR="008F7D17" w:rsidRPr="00A37E10" w:rsidRDefault="008F7D17" w:rsidP="001910BA">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956C2">
      <w:pPr>
        <w:pStyle w:val="Nagwek2"/>
      </w:pPr>
      <w:r w:rsidRPr="009154DF">
        <w:t>Nieprawidłowości i zwrot środków</w:t>
      </w:r>
    </w:p>
    <w:p w14:paraId="0F4AA153" w14:textId="42953977" w:rsidR="008F7D17" w:rsidRPr="00AF1C77" w:rsidRDefault="008F7D17" w:rsidP="001910BA">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7D3FD7D8"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E972E4" w:rsidRPr="00AF1C77">
        <w:rPr>
          <w:rFonts w:ascii="Arial" w:hAnsi="Arial" w:cs="Arial"/>
        </w:rPr>
        <w:t>202</w:t>
      </w:r>
      <w:r w:rsidR="00E972E4">
        <w:rPr>
          <w:rFonts w:ascii="Arial" w:hAnsi="Arial" w:cs="Arial"/>
        </w:rPr>
        <w:t xml:space="preserve">4 </w:t>
      </w:r>
      <w:r w:rsidRPr="00AF1C77">
        <w:rPr>
          <w:rFonts w:ascii="Arial" w:hAnsi="Arial" w:cs="Arial"/>
        </w:rPr>
        <w:t xml:space="preserve">r. poz. </w:t>
      </w:r>
      <w:r w:rsidR="00E972E4">
        <w:rPr>
          <w:rFonts w:ascii="Arial" w:hAnsi="Arial" w:cs="Arial"/>
        </w:rPr>
        <w:t>572</w:t>
      </w:r>
      <w:r w:rsidRPr="00AF1C77">
        <w:rPr>
          <w:rFonts w:ascii="Arial" w:hAnsi="Arial" w:cs="Arial"/>
        </w:rPr>
        <w:t>), wydaje decyzję, o</w:t>
      </w:r>
      <w:r w:rsidR="004E02FD">
        <w:rPr>
          <w:rFonts w:ascii="Arial" w:hAnsi="Arial" w:cs="Arial"/>
        </w:rPr>
        <w:t> </w:t>
      </w:r>
      <w:r w:rsidRPr="00AF1C77">
        <w:rPr>
          <w:rFonts w:ascii="Arial" w:hAnsi="Arial" w:cs="Arial"/>
        </w:rPr>
        <w:t>której mowa w</w:t>
      </w:r>
      <w:r w:rsidR="001A2D93">
        <w:rPr>
          <w:rFonts w:ascii="Arial" w:hAnsi="Arial" w:cs="Arial"/>
        </w:rPr>
        <w:t> </w:t>
      </w:r>
      <w:r w:rsidRPr="00AF1C77">
        <w:rPr>
          <w:rFonts w:ascii="Arial" w:hAnsi="Arial" w:cs="Arial"/>
        </w:rPr>
        <w:t>art. 207 ust. 9 ustawy z dnia 27 sierpnia 2009 r. o</w:t>
      </w:r>
      <w:r w:rsidR="00E972E4">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030466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Projektu. Obowiązek przestrzegania postanowień </w:t>
      </w:r>
      <w:r w:rsidR="008B2462">
        <w:rPr>
          <w:rFonts w:ascii="Arial" w:hAnsi="Arial" w:cs="Arial"/>
        </w:rPr>
        <w:t>porozumienia</w:t>
      </w:r>
      <w:r w:rsidRPr="007F7CC1">
        <w:rPr>
          <w:rFonts w:ascii="Arial" w:hAnsi="Arial" w:cs="Arial"/>
        </w:rPr>
        <w:t xml:space="preserve"> spoczywa </w:t>
      </w:r>
      <w:r w:rsidRPr="007F7CC1">
        <w:rPr>
          <w:rFonts w:ascii="Arial" w:hAnsi="Arial" w:cs="Arial"/>
        </w:rPr>
        <w:lastRenderedPageBreak/>
        <w:t xml:space="preserve">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1910BA">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1910BA">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956C2">
      <w:pPr>
        <w:pStyle w:val="Nagwek2"/>
      </w:pPr>
      <w:r w:rsidRPr="00AF1C77">
        <w:t>Zasady wykorzystywania systemu teleinformatycznego</w:t>
      </w:r>
    </w:p>
    <w:p w14:paraId="4B6451A6" w14:textId="49592591" w:rsidR="00283154" w:rsidRPr="00AF1C77" w:rsidRDefault="008800A7" w:rsidP="001910BA">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t>
      </w:r>
      <w:r w:rsidRPr="001269F3">
        <w:rPr>
          <w:rFonts w:ascii="Arial" w:hAnsi="Arial" w:cs="Arial"/>
        </w:rPr>
        <w:lastRenderedPageBreak/>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3"/>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4"/>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lastRenderedPageBreak/>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956C2">
      <w:pPr>
        <w:pStyle w:val="Nagwek2"/>
      </w:pPr>
      <w:r w:rsidRPr="00AF1C77">
        <w:t>Monitoring</w:t>
      </w:r>
    </w:p>
    <w:p w14:paraId="30FBE134" w14:textId="1E27C5E6" w:rsidR="003E5668" w:rsidRPr="00AF1C77" w:rsidRDefault="003E5668" w:rsidP="001910BA">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t>
      </w:r>
      <w:r w:rsidRPr="3CE686B7">
        <w:rPr>
          <w:rFonts w:ascii="Arial" w:hAnsi="Arial" w:cs="Arial"/>
        </w:rPr>
        <w:lastRenderedPageBreak/>
        <w:t>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956C2">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1910BA">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4956C2">
      <w:pPr>
        <w:pStyle w:val="Nagwek2"/>
      </w:pPr>
      <w:r w:rsidRPr="00AF1C77">
        <w:t>Kontrola Projektu</w:t>
      </w:r>
    </w:p>
    <w:p w14:paraId="5AEFAF4E" w14:textId="3F019786" w:rsidR="00E07407" w:rsidRPr="00AF1C77" w:rsidRDefault="00E07407" w:rsidP="001910BA">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32EC8C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lastRenderedPageBreak/>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w:t>
      </w:r>
      <w:r w:rsidR="00DF2578">
        <w:rPr>
          <w:rFonts w:ascii="Arial" w:hAnsi="Arial" w:cs="Arial"/>
        </w:rPr>
        <w:t>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 xml:space="preserve">itp.) powstałych </w:t>
      </w:r>
      <w:r w:rsidRPr="007B7B26">
        <w:rPr>
          <w:rFonts w:ascii="Arial" w:hAnsi="Arial" w:cs="Arial"/>
        </w:rPr>
        <w:lastRenderedPageBreak/>
        <w:t>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5"/>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4956C2">
      <w:pPr>
        <w:pStyle w:val="Nagwek2"/>
      </w:pPr>
      <w:r w:rsidRPr="00AF1C77">
        <w:t>Konkurencyjność wydatków</w:t>
      </w:r>
    </w:p>
    <w:p w14:paraId="671F4B9E" w14:textId="6D6E27DC" w:rsidR="008F7D17" w:rsidRPr="00AF1C77" w:rsidRDefault="00176913" w:rsidP="001910BA">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566F797D" w:rsidR="008F7D17" w:rsidRPr="00AF7D94" w:rsidRDefault="008A0C1B" w:rsidP="008A0C1B">
      <w:pPr>
        <w:pStyle w:val="Akapitzlist"/>
        <w:numPr>
          <w:ilvl w:val="0"/>
          <w:numId w:val="7"/>
        </w:numPr>
        <w:spacing w:line="276" w:lineRule="auto"/>
        <w:rPr>
          <w:rFonts w:ascii="Arial" w:hAnsi="Arial" w:cs="Arial"/>
        </w:rPr>
      </w:pPr>
      <w:r>
        <w:rPr>
          <w:rFonts w:ascii="Arial" w:hAnsi="Arial" w:cs="Arial"/>
        </w:rPr>
        <w:t xml:space="preserve">3. </w:t>
      </w:r>
      <w:r w:rsidR="0082645F" w:rsidRPr="001A2D93">
        <w:rPr>
          <w:rFonts w:ascii="Arial" w:hAnsi="Arial" w:cs="Arial"/>
        </w:rPr>
        <w:t>Przy udzielaniu zamówienia w ramach Projektu Beneficjent ma obowiązek (jeśli dotyczy) zlecania zadań na zasadach określonych w art.11 ust.1 pkt 2 oraz ust.2 ustawy z dnia 24 kwietnia 2003 r. o działalności pożytku publicznego i</w:t>
      </w:r>
      <w:r w:rsidR="00401EE5">
        <w:rPr>
          <w:rFonts w:ascii="Arial" w:hAnsi="Arial" w:cs="Arial"/>
        </w:rPr>
        <w:t> </w:t>
      </w:r>
      <w:r w:rsidR="0082645F" w:rsidRPr="001A2D93">
        <w:rPr>
          <w:rFonts w:ascii="Arial" w:hAnsi="Arial" w:cs="Arial"/>
        </w:rPr>
        <w:t>o</w:t>
      </w:r>
      <w:r w:rsidR="00401EE5">
        <w:rPr>
          <w:rFonts w:ascii="Arial" w:hAnsi="Arial" w:cs="Arial"/>
        </w:rPr>
        <w:t> </w:t>
      </w:r>
      <w:r w:rsidR="0082645F" w:rsidRPr="001A2D93">
        <w:rPr>
          <w:rFonts w:ascii="Arial" w:hAnsi="Arial" w:cs="Arial"/>
        </w:rPr>
        <w:t>wolontariacie lub stosowania innych przewidzianych prawem trybów, w tym z</w:t>
      </w:r>
      <w:r w:rsidR="00401EE5">
        <w:rPr>
          <w:rFonts w:ascii="Arial" w:hAnsi="Arial" w:cs="Arial"/>
        </w:rPr>
        <w:t> </w:t>
      </w:r>
      <w:r w:rsidR="0082645F" w:rsidRPr="001A2D93">
        <w:rPr>
          <w:rFonts w:ascii="Arial" w:hAnsi="Arial" w:cs="Arial"/>
        </w:rPr>
        <w:t>art.26 ustawy z dnia 5 sierpnia 2022 r. o ekonomii społecznej, czy art.15a ustawy z dnia 27 kwietnia 2006 r. o spółdzielniach socjalnych (Dz. U. z 2023 r. poz. 802).</w:t>
      </w:r>
      <w:r w:rsidR="10D47D20" w:rsidRPr="00AF7D94">
        <w:rPr>
          <w:rFonts w:ascii="Arial" w:hAnsi="Arial" w:cs="Arial"/>
        </w:rPr>
        <w:t>W</w:t>
      </w:r>
      <w:r w:rsidR="00176913" w:rsidRPr="00AF7D94">
        <w:rPr>
          <w:rFonts w:ascii="Arial" w:hAnsi="Arial" w:cs="Arial"/>
        </w:rPr>
        <w:t xml:space="preserve"> przypadku stwierdzenia naruszenia przez Beneficjenta zasad określonych w</w:t>
      </w:r>
      <w:r w:rsidR="00EB6566" w:rsidRPr="00AF7D94">
        <w:rPr>
          <w:rFonts w:ascii="Arial" w:hAnsi="Arial" w:cs="Arial"/>
        </w:rPr>
        <w:t> </w:t>
      </w:r>
      <w:r w:rsidR="00176913" w:rsidRPr="00AF7D94">
        <w:rPr>
          <w:rFonts w:ascii="Arial" w:hAnsi="Arial" w:cs="Arial"/>
        </w:rPr>
        <w:t xml:space="preserve">ust. </w:t>
      </w:r>
      <w:r w:rsidR="33B7B8A6" w:rsidRPr="00AF7D94">
        <w:rPr>
          <w:rFonts w:ascii="Arial" w:hAnsi="Arial" w:cs="Arial"/>
        </w:rPr>
        <w:t xml:space="preserve">1 </w:t>
      </w:r>
      <w:r w:rsidR="75B750B4" w:rsidRPr="00AF7D94">
        <w:rPr>
          <w:rFonts w:ascii="Arial" w:hAnsi="Arial" w:cs="Arial"/>
        </w:rPr>
        <w:t xml:space="preserve">i </w:t>
      </w:r>
      <w:r w:rsidR="00850785" w:rsidRPr="00AF7D94">
        <w:rPr>
          <w:rFonts w:ascii="Arial" w:hAnsi="Arial" w:cs="Arial"/>
        </w:rPr>
        <w:t>3</w:t>
      </w:r>
      <w:r w:rsidR="75B750B4" w:rsidRPr="00AF7D94">
        <w:rPr>
          <w:rFonts w:ascii="Arial" w:hAnsi="Arial" w:cs="Arial"/>
        </w:rPr>
        <w:t xml:space="preserve"> </w:t>
      </w:r>
      <w:r w:rsidR="008767E3" w:rsidRPr="00AF7D94">
        <w:rPr>
          <w:rFonts w:ascii="Arial" w:hAnsi="Arial" w:cs="Arial"/>
        </w:rPr>
        <w:t xml:space="preserve">Instytucja Pośrednicząca </w:t>
      </w:r>
      <w:r w:rsidR="33B7B8A6" w:rsidRPr="00AF7D94">
        <w:rPr>
          <w:rFonts w:ascii="Arial" w:hAnsi="Arial" w:cs="Arial"/>
        </w:rPr>
        <w:t xml:space="preserve">może dokonywać </w:t>
      </w:r>
      <w:r w:rsidR="1BFB7917" w:rsidRPr="00AF7D94">
        <w:rPr>
          <w:rFonts w:ascii="Arial" w:hAnsi="Arial" w:cs="Arial"/>
        </w:rPr>
        <w:t xml:space="preserve">pomniejszeń wydatków kwalifikowalnych lub nakładać </w:t>
      </w:r>
      <w:r w:rsidR="33B7B8A6" w:rsidRPr="00AF7D94">
        <w:rPr>
          <w:rFonts w:ascii="Arial" w:hAnsi="Arial" w:cs="Arial"/>
        </w:rPr>
        <w:t>korekt</w:t>
      </w:r>
      <w:r w:rsidR="49AAC54C" w:rsidRPr="00AF7D94">
        <w:rPr>
          <w:rFonts w:ascii="Arial" w:hAnsi="Arial" w:cs="Arial"/>
        </w:rPr>
        <w:t>y</w:t>
      </w:r>
      <w:r w:rsidR="33B7B8A6" w:rsidRPr="00AF7D94">
        <w:rPr>
          <w:rFonts w:ascii="Arial" w:hAnsi="Arial" w:cs="Arial"/>
        </w:rPr>
        <w:t xml:space="preserve"> finansow</w:t>
      </w:r>
      <w:r w:rsidR="3A9907D4" w:rsidRPr="00AF7D94">
        <w:rPr>
          <w:rFonts w:ascii="Arial" w:hAnsi="Arial" w:cs="Arial"/>
        </w:rPr>
        <w:t>e</w:t>
      </w:r>
      <w:r w:rsidR="496C2878" w:rsidRPr="00AF7D94">
        <w:rPr>
          <w:rFonts w:ascii="Arial" w:hAnsi="Arial" w:cs="Arial"/>
        </w:rPr>
        <w:t>.</w:t>
      </w:r>
    </w:p>
    <w:p w14:paraId="4DF67127" w14:textId="0D948156" w:rsidR="009C04FE" w:rsidRPr="008A0C1B" w:rsidRDefault="008F7D17" w:rsidP="008A0C1B">
      <w:pPr>
        <w:pStyle w:val="Akapitzlist"/>
        <w:numPr>
          <w:ilvl w:val="0"/>
          <w:numId w:val="7"/>
        </w:numPr>
        <w:spacing w:line="276" w:lineRule="auto"/>
        <w:rPr>
          <w:rFonts w:ascii="Arial" w:hAnsi="Arial" w:cs="Arial"/>
        </w:rPr>
      </w:pPr>
      <w:r w:rsidRPr="008A0C1B">
        <w:rPr>
          <w:rFonts w:ascii="Arial" w:hAnsi="Arial" w:cs="Arial"/>
        </w:rPr>
        <w:t>W przypadku projektów partnerskich ust. 1-</w:t>
      </w:r>
      <w:r w:rsidR="008A0C1B">
        <w:rPr>
          <w:rFonts w:ascii="Arial" w:hAnsi="Arial" w:cs="Arial"/>
        </w:rPr>
        <w:t>4</w:t>
      </w:r>
      <w:r w:rsidR="00AF7D94" w:rsidRPr="008A0C1B">
        <w:rPr>
          <w:rFonts w:ascii="Arial" w:hAnsi="Arial" w:cs="Arial"/>
        </w:rPr>
        <w:t xml:space="preserve"> </w:t>
      </w:r>
      <w:r w:rsidRPr="008A0C1B">
        <w:rPr>
          <w:rFonts w:ascii="Arial" w:hAnsi="Arial" w:cs="Arial"/>
        </w:rPr>
        <w:t>mają zastosowanie również do Partnerów</w:t>
      </w:r>
      <w:r w:rsidR="006F6E9E" w:rsidRPr="00AF1C77">
        <w:rPr>
          <w:rStyle w:val="Odwoanieprzypisudolnego"/>
          <w:rFonts w:ascii="Arial" w:hAnsi="Arial" w:cs="Arial"/>
        </w:rPr>
        <w:footnoteReference w:id="26"/>
      </w:r>
      <w:r w:rsidR="009567D2" w:rsidRPr="008A0C1B">
        <w:rPr>
          <w:rFonts w:ascii="Arial" w:hAnsi="Arial" w:cs="Arial"/>
          <w:vertAlign w:val="superscript"/>
        </w:rPr>
        <w:t>)</w:t>
      </w:r>
      <w:r w:rsidRPr="008A0C1B">
        <w:rPr>
          <w:rFonts w:ascii="Arial" w:hAnsi="Arial" w:cs="Arial"/>
        </w:rPr>
        <w:t>.</w:t>
      </w:r>
    </w:p>
    <w:p w14:paraId="025FCB39" w14:textId="35FC2213" w:rsidR="008F7D17" w:rsidRPr="00AF1C77" w:rsidRDefault="009C04FE" w:rsidP="001910BA">
      <w:pPr>
        <w:pStyle w:val="Nagwek3"/>
      </w:pPr>
      <w:r w:rsidRPr="00AF1C77">
        <w:t xml:space="preserve">§ </w:t>
      </w:r>
      <w:r w:rsidR="002B2489" w:rsidRPr="00AF1C77">
        <w:t>2</w:t>
      </w:r>
      <w:r w:rsidR="007A1563">
        <w:t>0</w:t>
      </w:r>
      <w:r w:rsidR="004D62B2" w:rsidRPr="00AF1C77">
        <w:t>.</w:t>
      </w:r>
    </w:p>
    <w:p w14:paraId="76E08AD4"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zamówienia publicznego, zgodnie z przepisami ustawy z dnia 11 września 2019 r. – Prawo zamówień publicznych </w:t>
      </w:r>
      <w:r w:rsidRPr="001A2D93">
        <w:rPr>
          <w:rFonts w:ascii="Arial" w:hAnsi="Arial" w:cs="Arial"/>
        </w:rPr>
        <w:t xml:space="preserve">zobowiązany jest, z zastrzeżeniem ust. 5, do stosowania klauzul społecznych, o których mowa </w:t>
      </w:r>
      <w:r w:rsidRPr="001A2D93">
        <w:rPr>
          <w:rFonts w:ascii="Arial" w:hAnsi="Arial" w:cs="Arial"/>
        </w:rPr>
        <w:lastRenderedPageBreak/>
        <w:t>w art.94 i art.361 tej ustawy oraz do stosowania aspektów społecznych, o których mowa w art.96 i art.242 ust.2 pkt 2 tej ustawy.</w:t>
      </w:r>
      <w:r w:rsidRPr="001A2D93">
        <w:rPr>
          <w:rFonts w:ascii="Arial" w:hAnsi="Arial" w:cs="Arial"/>
          <w:sz w:val="20"/>
          <w:szCs w:val="20"/>
        </w:rPr>
        <w:t xml:space="preserve"> </w:t>
      </w:r>
    </w:p>
    <w:p w14:paraId="73D10159" w14:textId="77777777"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p w14:paraId="4A21FEC9"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Wyboru odpowiedniej klauzuli i/lub aspektu społecznego dokonuje Beneficjent (Zamawiający). Przy wyborze klauzuli i/lub aspektu społecznego</w:t>
      </w:r>
      <w:r w:rsidRPr="001A2D93">
        <w:rPr>
          <w:rFonts w:ascii="Arial" w:hAnsi="Arial" w:cs="Arial"/>
          <w:sz w:val="20"/>
          <w:szCs w:val="20"/>
        </w:rPr>
        <w:t xml:space="preserve"> </w:t>
      </w:r>
      <w:r w:rsidRPr="001A2D93">
        <w:rPr>
          <w:rFonts w:ascii="Arial" w:hAnsi="Arial" w:cs="Arial"/>
        </w:rPr>
        <w:t>Beneficjent kieruje się tym, aby klauzula/aspekt była najwłaściwsza do osiągnięcia zamierzonego przez Zamawiającego efektu.</w:t>
      </w:r>
    </w:p>
    <w:p w14:paraId="540192D8" w14:textId="73B23016"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Beneficjent zobowiązany jest do określenia sankcji z tytułu niezastosowania klauzuli czy też z tytułu niezastosowania aspektu społecznego przez wykonawcę oraz poinformowania o sposobie w jaki oferent ma potwierdzić spełnianie warunków określonych w klauzuli i/lub aspekcie społecznym.</w:t>
      </w:r>
    </w:p>
    <w:p w14:paraId="39E8713A" w14:textId="4C9F245A" w:rsidR="00850785"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Jeżeli w wyniku analizy rynku i uwarunkowań związanych z realizacją zamówień</w:t>
      </w:r>
      <w:r w:rsidRPr="00A5274F">
        <w:rPr>
          <w:rFonts w:ascii="Arial" w:hAnsi="Arial" w:cs="Arial"/>
        </w:rPr>
        <w:t>, o których mowa w ust. 1, Beneficjent uzna, że nie jest możliwe zastosowanie żadne</w:t>
      </w:r>
      <w:r>
        <w:rPr>
          <w:rFonts w:ascii="Arial" w:hAnsi="Arial" w:cs="Arial"/>
        </w:rPr>
        <w:t>j</w:t>
      </w:r>
      <w:r w:rsidRPr="00A5274F">
        <w:rPr>
          <w:rFonts w:ascii="Arial" w:hAnsi="Arial" w:cs="Arial"/>
        </w:rPr>
        <w:t xml:space="preserve"> </w:t>
      </w:r>
      <w:r w:rsidRPr="001A2D93">
        <w:rPr>
          <w:rFonts w:ascii="Arial" w:hAnsi="Arial" w:cs="Arial"/>
        </w:rPr>
        <w:t xml:space="preserve">klauzuli i/lub aspektu społecznego, możliwe jest przed wszczęciem postępowania o udzielenie zamówienia publicznego uzgodnienie z Instytucją Pośredniczącą odstąpienia od stosowania klauzul/aspektów </w:t>
      </w:r>
      <w:r w:rsidRPr="00A5274F">
        <w:rPr>
          <w:rFonts w:ascii="Arial" w:hAnsi="Arial" w:cs="Arial"/>
        </w:rPr>
        <w:t>społecznych w</w:t>
      </w:r>
      <w:r w:rsidR="001A2D93">
        <w:rPr>
          <w:rFonts w:ascii="Arial" w:hAnsi="Arial" w:cs="Arial"/>
        </w:rPr>
        <w:t> </w:t>
      </w:r>
      <w:r w:rsidRPr="00A5274F">
        <w:rPr>
          <w:rFonts w:ascii="Arial" w:hAnsi="Arial" w:cs="Arial"/>
        </w:rPr>
        <w:t xml:space="preserve">danym zamówieniu publicznym. </w:t>
      </w:r>
    </w:p>
    <w:p w14:paraId="6374A6C6" w14:textId="040EBC57" w:rsidR="008F7D17" w:rsidRPr="00AF1C77" w:rsidRDefault="008F7D17" w:rsidP="004956C2">
      <w:pPr>
        <w:pStyle w:val="Nagwek2"/>
      </w:pPr>
      <w:r w:rsidRPr="00AF1C77">
        <w:t>Ochrona danych osobowych</w:t>
      </w:r>
    </w:p>
    <w:p w14:paraId="0D2ED80B" w14:textId="24B4162F" w:rsidR="008F7D17" w:rsidRPr="00AF1C77" w:rsidRDefault="008F7D17" w:rsidP="001910BA">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6DF9C741" w:rsidR="00F10DEE" w:rsidRPr="00AF1C77" w:rsidRDefault="00F10DEE" w:rsidP="00FA557F">
      <w:pPr>
        <w:spacing w:line="276" w:lineRule="auto"/>
        <w:ind w:left="284"/>
        <w:rPr>
          <w:rFonts w:ascii="Arial" w:hAnsi="Arial" w:cs="Arial"/>
        </w:rPr>
      </w:pPr>
      <w:r w:rsidRPr="00AF1C77">
        <w:rPr>
          <w:rFonts w:ascii="Arial" w:hAnsi="Arial" w:cs="Arial"/>
        </w:rPr>
        <w:lastRenderedPageBreak/>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w:t>
      </w:r>
      <w:r w:rsidR="00DF2578">
        <w:rPr>
          <w:rFonts w:ascii="Arial" w:hAnsi="Arial" w:cs="Arial"/>
        </w:rPr>
        <w:t> </w:t>
      </w:r>
      <w:r w:rsidRPr="00AF1C77">
        <w:rPr>
          <w:rFonts w:ascii="Arial" w:hAnsi="Arial" w:cs="Arial"/>
        </w:rPr>
        <w:t>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0D42C32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w:t>
      </w:r>
      <w:r w:rsidR="00DF2578">
        <w:rPr>
          <w:rFonts w:ascii="Arial" w:hAnsi="Arial" w:cs="Arial"/>
        </w:rPr>
        <w:t> </w:t>
      </w:r>
      <w:r w:rsidRPr="3CE686B7">
        <w:rPr>
          <w:rFonts w:ascii="Arial" w:hAnsi="Arial" w:cs="Arial"/>
        </w:rPr>
        <w:t>szczególności w odniesieniu do danych osobowych umieszczonych w</w:t>
      </w:r>
      <w:r w:rsidR="00DF2578">
        <w:rPr>
          <w:rFonts w:ascii="Arial" w:hAnsi="Arial" w:cs="Arial"/>
        </w:rPr>
        <w:t> </w:t>
      </w:r>
      <w:r w:rsidRPr="3CE686B7">
        <w:rPr>
          <w:rFonts w:ascii="Arial" w:hAnsi="Arial" w:cs="Arial"/>
        </w:rPr>
        <w:t>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lastRenderedPageBreak/>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1910BA">
      <w:pPr>
        <w:pStyle w:val="Nagwek3"/>
      </w:pPr>
      <w:r w:rsidRPr="00AE64C5">
        <w:t>§ 2</w:t>
      </w:r>
      <w:r w:rsidR="007A1563">
        <w:t>2</w:t>
      </w:r>
      <w:r w:rsidR="004D62B2" w:rsidRPr="00AE64C5">
        <w:t>.</w:t>
      </w:r>
    </w:p>
    <w:p w14:paraId="38CBA1AB" w14:textId="5544F2A0"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rojektu przez Unię Europejską, zgodnie z Rozporządzeniem 2021/1060 (w</w:t>
      </w:r>
      <w:r w:rsidR="00DF2578">
        <w:rPr>
          <w:rFonts w:ascii="Arial" w:hAnsi="Arial" w:cs="Arial"/>
          <w:spacing w:val="2"/>
        </w:rPr>
        <w:t> </w:t>
      </w:r>
      <w:r w:rsidRPr="00AE64C5">
        <w:rPr>
          <w:rFonts w:ascii="Arial" w:hAnsi="Arial" w:cs="Arial"/>
          <w:spacing w:val="2"/>
        </w:rPr>
        <w:t xml:space="preserve">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7"/>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lastRenderedPageBreak/>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8"/>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29"/>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0"/>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lastRenderedPageBreak/>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1"/>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2"/>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3"/>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w:t>
      </w:r>
      <w:r w:rsidRPr="00AE64C5">
        <w:rPr>
          <w:rFonts w:ascii="Arial" w:eastAsia="Calibri" w:hAnsi="Arial" w:cs="Arial"/>
          <w:lang w:eastAsia="en-US"/>
        </w:rPr>
        <w:lastRenderedPageBreak/>
        <w:t xml:space="preserve">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3DABB86E"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lastRenderedPageBreak/>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257E42B4"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4"/>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4956C2">
      <w:pPr>
        <w:pStyle w:val="Nagwek2"/>
      </w:pPr>
      <w:r w:rsidRPr="00047B4D">
        <w:t>Zmiany w Projekcie</w:t>
      </w:r>
    </w:p>
    <w:p w14:paraId="2828C826" w14:textId="25972256" w:rsidR="008F7D17" w:rsidRPr="00047B4D" w:rsidRDefault="008F7D17" w:rsidP="001910BA">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lastRenderedPageBreak/>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7"/>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511CC6F4"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DF257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096EE2"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w:t>
      </w:r>
      <w:r w:rsidR="00DF2578">
        <w:rPr>
          <w:rFonts w:ascii="Arial" w:hAnsi="Arial" w:cs="Arial"/>
        </w:rPr>
        <w:t> </w:t>
      </w:r>
      <w:r w:rsidRPr="008662A4">
        <w:rPr>
          <w:rFonts w:ascii="Arial" w:hAnsi="Arial" w:cs="Arial"/>
        </w:rPr>
        <w:t xml:space="preserve">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t>
      </w:r>
      <w:r w:rsidRPr="008662A4">
        <w:rPr>
          <w:rFonts w:ascii="Arial" w:hAnsi="Arial" w:cs="Arial"/>
        </w:rPr>
        <w:lastRenderedPageBreak/>
        <w:t xml:space="preserve">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CEFB1AF"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4956C2">
      <w:pPr>
        <w:pStyle w:val="Nagwek2"/>
      </w:pPr>
      <w:r w:rsidRPr="00AF1C77">
        <w:t>Reguła proporcjonalności</w:t>
      </w:r>
    </w:p>
    <w:p w14:paraId="18076768" w14:textId="64D90619" w:rsidR="00A137A1" w:rsidRPr="00AF1C77" w:rsidRDefault="00A137A1" w:rsidP="001910BA">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lastRenderedPageBreak/>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8"/>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4956C2">
      <w:pPr>
        <w:pStyle w:val="Nagwek2"/>
      </w:pPr>
      <w:r w:rsidRPr="00AF1C77">
        <w:t xml:space="preserve">Rozwiązanie </w:t>
      </w:r>
      <w:r w:rsidR="00FC1FDC">
        <w:t>Porozumienia</w:t>
      </w:r>
    </w:p>
    <w:p w14:paraId="010C581C" w14:textId="3FD79D49" w:rsidR="008F7D17" w:rsidRPr="00AF1C77" w:rsidRDefault="008F7D17" w:rsidP="001910BA">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1910BA">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1910BA">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lastRenderedPageBreak/>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39"/>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4956C2">
      <w:pPr>
        <w:pStyle w:val="Nagwek2"/>
      </w:pPr>
      <w:r w:rsidRPr="00AF1C77">
        <w:t xml:space="preserve">Szczególne warunki realizacji </w:t>
      </w:r>
      <w:r>
        <w:t>Porozumienia</w:t>
      </w:r>
      <w:r w:rsidRPr="00AF1C77">
        <w:rPr>
          <w:rStyle w:val="Odwoanieprzypisudolnego"/>
        </w:rPr>
        <w:footnoteReference w:id="40"/>
      </w:r>
      <w:r w:rsidRPr="00AF1C77">
        <w:rPr>
          <w:vertAlign w:val="superscript"/>
        </w:rPr>
        <w:t>)</w:t>
      </w:r>
    </w:p>
    <w:p w14:paraId="50BE6492" w14:textId="2393E2FB" w:rsidR="006809EE" w:rsidRDefault="006809EE" w:rsidP="001910BA">
      <w:pPr>
        <w:pStyle w:val="Nagwek3"/>
      </w:pPr>
      <w:bookmarkStart w:id="9" w:name="_Hlk152667971"/>
      <w:r>
        <w:t xml:space="preserve"> </w:t>
      </w:r>
      <w:r w:rsidRPr="00AF1C77">
        <w:t xml:space="preserve">§ </w:t>
      </w:r>
      <w:r>
        <w:t>28</w:t>
      </w:r>
      <w:r w:rsidRPr="00AF1C77">
        <w:t>.</w:t>
      </w:r>
    </w:p>
    <w:p w14:paraId="67BAD0D5" w14:textId="6D9ECBE8" w:rsidR="00FC4D8A" w:rsidRPr="00127956" w:rsidRDefault="00FC4D8A" w:rsidP="00127956">
      <w:pPr>
        <w:spacing w:line="276" w:lineRule="auto"/>
        <w:ind w:left="426" w:hanging="426"/>
        <w:rPr>
          <w:rFonts w:ascii="Arial" w:hAnsi="Arial" w:cs="Arial"/>
          <w:sz w:val="22"/>
          <w:szCs w:val="22"/>
        </w:rPr>
      </w:pPr>
      <w:r w:rsidRPr="00127956">
        <w:rPr>
          <w:rFonts w:ascii="Arial" w:hAnsi="Arial" w:cs="Arial"/>
        </w:rPr>
        <w:t>1.</w:t>
      </w:r>
      <w:r w:rsidR="00655510">
        <w:rPr>
          <w:rFonts w:ascii="Arial" w:hAnsi="Arial" w:cs="Arial"/>
        </w:rPr>
        <w:t> </w:t>
      </w:r>
      <w:r w:rsidRPr="00127956">
        <w:rPr>
          <w:rFonts w:ascii="Arial" w:hAnsi="Arial" w:cs="Arial"/>
        </w:rPr>
        <w:t>Beneficjent zobowiązany jest do złożenia do Departamentu Zdrowia i Polityki Społecznej Urzędu Marszałkowskiego Województwa Mazowieckiego w</w:t>
      </w:r>
      <w:r w:rsidR="00E11B42">
        <w:rPr>
          <w:rFonts w:ascii="Arial" w:hAnsi="Arial" w:cs="Arial"/>
        </w:rPr>
        <w:t> </w:t>
      </w:r>
      <w:r w:rsidRPr="00127956">
        <w:rPr>
          <w:rFonts w:ascii="Arial" w:hAnsi="Arial" w:cs="Arial"/>
        </w:rPr>
        <w:t xml:space="preserve">Warszawie w formie elektronicznej na adres elektronicznej skrzynki podawczej ePUAP Urzędu Marszałkowskiego Województwa Mazowieckiego w Warszawie lub </w:t>
      </w:r>
      <w:hyperlink r:id="rId18" w:history="1">
        <w:r w:rsidRPr="00127956">
          <w:rPr>
            <w:rStyle w:val="Hipercze"/>
            <w:rFonts w:ascii="Arial" w:eastAsia="Calibri" w:hAnsi="Arial" w:cs="Arial"/>
          </w:rPr>
          <w:t>zdrowie@mazovia.pl</w:t>
        </w:r>
      </w:hyperlink>
      <w:r w:rsidR="00EF02D4" w:rsidRPr="00127956">
        <w:rPr>
          <w:rFonts w:ascii="Arial" w:hAnsi="Arial" w:cs="Arial"/>
        </w:rPr>
        <w:t xml:space="preserve"> oraz przesłania za pośrednictwem systemu CST2021 do MJWPU</w:t>
      </w:r>
      <w:r w:rsidRPr="00127956">
        <w:rPr>
          <w:rStyle w:val="Odwoanieprzypisudolnego"/>
          <w:rFonts w:ascii="Arial" w:hAnsi="Arial" w:cs="Arial"/>
        </w:rPr>
        <w:footnoteReference w:id="41"/>
      </w:r>
      <w:r w:rsidRPr="00127956">
        <w:rPr>
          <w:rFonts w:ascii="Arial" w:hAnsi="Arial" w:cs="Arial"/>
          <w:vertAlign w:val="superscript"/>
        </w:rPr>
        <w:t>)</w:t>
      </w:r>
      <w:r w:rsidRPr="00127956">
        <w:rPr>
          <w:rFonts w:ascii="Arial" w:hAnsi="Arial" w:cs="Arial"/>
        </w:rPr>
        <w:t xml:space="preserve">: </w:t>
      </w:r>
    </w:p>
    <w:p w14:paraId="04EA754B" w14:textId="77777777" w:rsidR="00FC4D8A" w:rsidRPr="00127956" w:rsidRDefault="00FC4D8A" w:rsidP="00127956">
      <w:pPr>
        <w:pStyle w:val="Akapitzlist"/>
        <w:numPr>
          <w:ilvl w:val="0"/>
          <w:numId w:val="61"/>
        </w:numPr>
        <w:spacing w:after="200" w:line="276" w:lineRule="auto"/>
        <w:ind w:left="567" w:hanging="283"/>
        <w:rPr>
          <w:rFonts w:ascii="Arial" w:hAnsi="Arial" w:cs="Arial"/>
        </w:rPr>
      </w:pPr>
      <w:r w:rsidRPr="00127956">
        <w:rPr>
          <w:rFonts w:ascii="Arial" w:hAnsi="Arial" w:cs="Arial"/>
        </w:rPr>
        <w:t>corocznie, w ramach monitoringu do 31 stycznia roku następnego, biorąc pod uwagę wykonane działania w ramach programu sprawozdanie roczne z wykonania świadczeń w ramach programu zgodne ze wzorem stanowiącym Załącznik E. do programu, „Sprawozdanie roczne/końcowe z wykonania świadczeń w ramach regionalnego programu zdrowotnego”;</w:t>
      </w:r>
    </w:p>
    <w:p w14:paraId="31A25FAA" w14:textId="77777777" w:rsidR="00FC4D8A" w:rsidRPr="00127956" w:rsidRDefault="00FC4D8A" w:rsidP="00127956">
      <w:pPr>
        <w:pStyle w:val="Akapitzlist"/>
        <w:numPr>
          <w:ilvl w:val="0"/>
          <w:numId w:val="61"/>
        </w:numPr>
        <w:spacing w:after="200" w:line="276" w:lineRule="auto"/>
        <w:ind w:left="567" w:hanging="283"/>
        <w:rPr>
          <w:rFonts w:ascii="Arial" w:hAnsi="Arial" w:cs="Arial"/>
        </w:rPr>
      </w:pPr>
      <w:r w:rsidRPr="00127956">
        <w:rPr>
          <w:rFonts w:ascii="Arial" w:hAnsi="Arial" w:cs="Arial"/>
        </w:rPr>
        <w:t>jednorazowo, po zakończeniu realizacji programu do 31 stycznia roku następnego, w ramach oceny efektów programu:</w:t>
      </w:r>
    </w:p>
    <w:p w14:paraId="3D3CD70C" w14:textId="0C99BFCE" w:rsidR="00FC4D8A" w:rsidRPr="00127956" w:rsidRDefault="00FC4D8A" w:rsidP="00127956">
      <w:pPr>
        <w:pStyle w:val="Akapitzlist"/>
        <w:numPr>
          <w:ilvl w:val="1"/>
          <w:numId w:val="61"/>
        </w:numPr>
        <w:spacing w:after="200" w:line="276" w:lineRule="auto"/>
        <w:rPr>
          <w:rFonts w:ascii="Arial" w:hAnsi="Arial" w:cs="Arial"/>
        </w:rPr>
      </w:pPr>
      <w:r w:rsidRPr="00127956">
        <w:rPr>
          <w:rFonts w:ascii="Arial" w:hAnsi="Arial" w:cs="Arial"/>
        </w:rPr>
        <w:t xml:space="preserve">sprawozdanie roczne z wykonania świadczeń w ramach programu zgodne ze wzorem stanowiącym Załącznik E. do programu, </w:t>
      </w:r>
      <w:r w:rsidRPr="00127956">
        <w:rPr>
          <w:rFonts w:ascii="Arial" w:hAnsi="Arial" w:cs="Arial"/>
        </w:rPr>
        <w:lastRenderedPageBreak/>
        <w:t>„Sprawozdanie roczne/końcowe z wykonania świadczeń w ramach regionalnego programu zdrowotnego”;</w:t>
      </w:r>
    </w:p>
    <w:p w14:paraId="6212BC7A" w14:textId="54B0C2B5" w:rsidR="00FC4D8A" w:rsidRPr="00127956" w:rsidRDefault="00FC4D8A" w:rsidP="00127956">
      <w:pPr>
        <w:pStyle w:val="Akapitzlist"/>
        <w:numPr>
          <w:ilvl w:val="1"/>
          <w:numId w:val="61"/>
        </w:numPr>
        <w:spacing w:after="200" w:line="276" w:lineRule="auto"/>
        <w:rPr>
          <w:rFonts w:ascii="Arial" w:hAnsi="Arial" w:cs="Arial"/>
        </w:rPr>
      </w:pPr>
      <w:r w:rsidRPr="00127956">
        <w:rPr>
          <w:rFonts w:ascii="Arial" w:hAnsi="Arial" w:cs="Arial"/>
        </w:rPr>
        <w:t>sprawozdanie końcowe z osiągniętych mierników efektywności realizacji programu zgodne ze wzorem stanowiącym Załącznik F. do programu, „Sprawozdanie końcowe z osiągniętych mierników efektywności realizacji regionalnego programu zdrowotnego”, zawierającego analizę wyników ankiet satysfakcji uczestników szkoleń grupowych, zgodnie ze wzorem stanowiącym załącznik C.  do programu oraz analizę wyników ankiet satysfakcji uczestników programu, zgodnie ze wzorem stanowiącym załącznik D. do programu.</w:t>
      </w:r>
    </w:p>
    <w:bookmarkEnd w:id="9"/>
    <w:p w14:paraId="09D3D284" w14:textId="7459CF1C" w:rsidR="008F7D17" w:rsidRPr="00AF1C77" w:rsidRDefault="008F7D17" w:rsidP="004956C2">
      <w:pPr>
        <w:pStyle w:val="Nagwek2"/>
      </w:pPr>
      <w:r w:rsidRPr="00AF1C77">
        <w:t>Postanowienia końcowe</w:t>
      </w:r>
    </w:p>
    <w:p w14:paraId="1E3FC61B" w14:textId="3EE8EEFF" w:rsidR="00C8152E" w:rsidRPr="00AF1C77" w:rsidRDefault="00C8152E" w:rsidP="001910BA">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2"/>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7615112A"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9C4425">
        <w:rPr>
          <w:rFonts w:ascii="Arial" w:hAnsi="Arial" w:cs="Arial"/>
        </w:rPr>
        <w:t>2023</w:t>
      </w:r>
      <w:r w:rsidR="009C4425"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C4425">
        <w:rPr>
          <w:rFonts w:ascii="Arial" w:hAnsi="Arial" w:cs="Arial"/>
        </w:rPr>
        <w:t>1610</w:t>
      </w:r>
      <w:r w:rsidR="00F35835" w:rsidRPr="00AF1C77">
        <w:rPr>
          <w:rFonts w:ascii="Arial" w:hAnsi="Arial" w:cs="Arial"/>
        </w:rPr>
        <w:t>, z</w:t>
      </w:r>
      <w:r w:rsidR="00AD6E21">
        <w:rPr>
          <w:rFonts w:ascii="Arial" w:hAnsi="Arial" w:cs="Arial"/>
        </w:rPr>
        <w:t> </w:t>
      </w:r>
      <w:r w:rsidR="00F35835" w:rsidRPr="00AF1C77">
        <w:rPr>
          <w:rFonts w:ascii="Arial" w:hAnsi="Arial" w:cs="Arial"/>
        </w:rPr>
        <w:t>późn.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r w:rsidR="46435A62" w:rsidRPr="3AAE4FE6">
        <w:rPr>
          <w:rFonts w:ascii="Arial" w:hAnsi="Arial" w:cs="Arial"/>
        </w:rPr>
        <w:t>późn.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3EEFE583"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poz. 2055)</w:t>
      </w:r>
      <w:r w:rsidRPr="00AF1C77">
        <w:rPr>
          <w:rFonts w:ascii="Arial" w:hAnsi="Arial" w:cs="Arial"/>
        </w:rPr>
        <w:t>;</w:t>
      </w:r>
    </w:p>
    <w:p w14:paraId="3688CE8B" w14:textId="496AAC8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w:t>
      </w:r>
      <w:r w:rsidR="00E31E9B">
        <w:rPr>
          <w:rFonts w:ascii="Arial" w:hAnsi="Arial" w:cs="Arial"/>
        </w:rPr>
        <w:t xml:space="preserve">2024 </w:t>
      </w:r>
      <w:r w:rsidR="00A16641">
        <w:rPr>
          <w:rFonts w:ascii="Arial" w:hAnsi="Arial" w:cs="Arial"/>
        </w:rPr>
        <w:t xml:space="preserve">poz. </w:t>
      </w:r>
      <w:r w:rsidR="00E31E9B">
        <w:rPr>
          <w:rFonts w:ascii="Arial" w:hAnsi="Arial" w:cs="Arial"/>
        </w:rPr>
        <w:t>869</w:t>
      </w:r>
      <w:r w:rsidR="00A16641">
        <w:rPr>
          <w:rFonts w:ascii="Arial" w:hAnsi="Arial" w:cs="Arial"/>
        </w:rPr>
        <w:t>)</w:t>
      </w:r>
      <w:r w:rsidR="00A4625A">
        <w:rPr>
          <w:rFonts w:ascii="Arial" w:hAnsi="Arial" w:cs="Arial"/>
        </w:rPr>
        <w:t>.</w:t>
      </w:r>
    </w:p>
    <w:p w14:paraId="7698EC38" w14:textId="1578932D" w:rsidR="008F7D17" w:rsidRPr="00AF1C77" w:rsidRDefault="008F7D17" w:rsidP="001910BA">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3"/>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4"/>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9C8F2D" w:rsidR="008F7D17" w:rsidRPr="00AF1C77" w:rsidRDefault="008F7D17" w:rsidP="001910BA">
      <w:pPr>
        <w:pStyle w:val="Nagwek3"/>
      </w:pPr>
      <w:r w:rsidRPr="00AF1C77">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1910BA">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1910BA">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6"/>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7049D61F"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A27CE1">
        <w:rPr>
          <w:rStyle w:val="Odwoanieprzypisudolnego"/>
          <w:rFonts w:ascii="Arial" w:hAnsi="Arial" w:cs="Arial"/>
          <w:b/>
        </w:rPr>
        <w:footnoteReference w:id="47"/>
      </w:r>
      <w:r w:rsidR="00A27CE1">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1136AC6A"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w:t>
      </w:r>
      <w:r w:rsidR="00EE4EC0">
        <w:rPr>
          <w:rFonts w:ascii="Arial" w:hAnsi="Arial" w:cs="Arial"/>
          <w:sz w:val="18"/>
          <w:szCs w:val="18"/>
        </w:rPr>
        <w:t> </w:t>
      </w:r>
      <w:r w:rsidR="0009064F">
        <w:rPr>
          <w:rFonts w:ascii="Arial" w:hAnsi="Arial" w:cs="Arial"/>
          <w:sz w:val="18"/>
          <w:szCs w:val="18"/>
        </w:rPr>
        <w:t xml:space="preserve"> </w:t>
      </w:r>
      <w:r w:rsidR="0041085A">
        <w:rPr>
          <w:rFonts w:ascii="Arial" w:hAnsi="Arial" w:cs="Arial"/>
          <w:sz w:val="18"/>
          <w:szCs w:val="18"/>
        </w:rPr>
        <w:t>(</w:t>
      </w:r>
      <w:r w:rsidR="0009064F">
        <w:rPr>
          <w:rFonts w:ascii="Arial" w:hAnsi="Arial" w:cs="Arial"/>
          <w:sz w:val="18"/>
          <w:szCs w:val="18"/>
        </w:rPr>
        <w:t>z</w:t>
      </w:r>
      <w:r w:rsidR="00EE4EC0">
        <w:rPr>
          <w:rFonts w:ascii="Arial" w:hAnsi="Arial" w:cs="Arial"/>
          <w:sz w:val="18"/>
          <w:szCs w:val="18"/>
        </w:rPr>
        <w:t> </w:t>
      </w:r>
      <w:r w:rsidR="0009064F">
        <w:rPr>
          <w:rFonts w:ascii="Arial" w:hAnsi="Arial" w:cs="Arial"/>
          <w:sz w:val="18"/>
          <w:szCs w:val="18"/>
        </w:rPr>
        <w:t xml:space="preserve">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0134E924"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49294B" w:rsidRPr="00FF645B">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0F8B41D7" w14:textId="1EA3D83E" w:rsidR="00D372D1" w:rsidRDefault="00D372D1" w:rsidP="00D372D1">
      <w:pPr>
        <w:pStyle w:val="Tekstprzypisudolnego"/>
        <w:ind w:left="142" w:hanging="142"/>
      </w:pPr>
      <w:r>
        <w:rPr>
          <w:rStyle w:val="Odwoanieprzypisudolnego"/>
        </w:rPr>
        <w:footnoteRef/>
      </w:r>
      <w:r w:rsidR="00A96D47">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49294B">
        <w:rPr>
          <w:rFonts w:ascii="Arial" w:hAnsi="Arial" w:cs="Arial"/>
          <w:sz w:val="18"/>
          <w:szCs w:val="18"/>
        </w:rPr>
        <w:t> </w:t>
      </w:r>
      <w:r w:rsidRPr="008776D6">
        <w:rPr>
          <w:rFonts w:ascii="Arial" w:hAnsi="Arial" w:cs="Arial"/>
          <w:sz w:val="18"/>
          <w:szCs w:val="18"/>
        </w:rPr>
        <w:t>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0">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1">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2">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3">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6">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7">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8">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9">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0">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1">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2">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3">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4">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5">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6">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7">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9">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0">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1">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2">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3">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4">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5">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6">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7">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8">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39">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0">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1">
    <w:p w14:paraId="03D57B5A" w14:textId="0393BC97" w:rsidR="00FC4D8A" w:rsidRPr="00E2339C" w:rsidRDefault="00FC4D8A" w:rsidP="00FC4D8A">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Regionalnego Programu Zdrowotnego w zakresie opracowania wskazówek i zaleceń do pracy z dzieckiem od 18 miesiąca życia do 17 roku życia z zaburzeniami ze spektrum autyzmu w środowisku domowym.</w:t>
      </w:r>
      <w:r w:rsidR="00EF02D4">
        <w:rPr>
          <w:rFonts w:ascii="Arial" w:hAnsi="Arial" w:cs="Arial"/>
          <w:sz w:val="18"/>
          <w:szCs w:val="18"/>
        </w:rPr>
        <w:t xml:space="preserve">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42">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3">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4">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6">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 w:id="47">
    <w:p w14:paraId="33A2A760" w14:textId="1F64B1F3" w:rsidR="00A27CE1" w:rsidRPr="00401EE5" w:rsidRDefault="00A27CE1">
      <w:pPr>
        <w:pStyle w:val="Tekstprzypisudolnego"/>
        <w:rPr>
          <w:rFonts w:ascii="Arial" w:hAnsi="Arial" w:cs="Arial"/>
          <w:sz w:val="18"/>
          <w:szCs w:val="18"/>
          <w:vertAlign w:val="superscript"/>
        </w:rPr>
      </w:pPr>
      <w:r w:rsidRPr="00401EE5">
        <w:rPr>
          <w:rStyle w:val="Odwoanieprzypisudolnego"/>
          <w:rFonts w:ascii="Arial" w:hAnsi="Arial" w:cs="Arial"/>
          <w:sz w:val="18"/>
          <w:szCs w:val="18"/>
        </w:rPr>
        <w:footnoteRef/>
      </w:r>
      <w:r w:rsidRPr="00401EE5">
        <w:rPr>
          <w:rFonts w:ascii="Arial" w:hAnsi="Arial" w:cs="Arial"/>
          <w:sz w:val="18"/>
          <w:szCs w:val="18"/>
          <w:vertAlign w:val="superscript"/>
        </w:rPr>
        <w:t xml:space="preserve">) </w:t>
      </w:r>
      <w:r w:rsidRPr="00401EE5">
        <w:rPr>
          <w:rFonts w:ascii="Arial" w:hAnsi="Arial"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D6E4916"/>
    <w:multiLevelType w:val="hybridMultilevel"/>
    <w:tmpl w:val="AFAE47CC"/>
    <w:lvl w:ilvl="0" w:tplc="FDC65252">
      <w:start w:val="1"/>
      <w:numFmt w:val="decimal"/>
      <w:lvlText w:val="%1)"/>
      <w:lvlJc w:val="left"/>
      <w:pPr>
        <w:ind w:left="720" w:hanging="360"/>
      </w:pPr>
      <w:rPr>
        <w:rFonts w:ascii="Aptos" w:eastAsia="Times New Roman" w:hAnsi="Aptos" w:cs="Times New Roman"/>
      </w:rPr>
    </w:lvl>
    <w:lvl w:ilvl="1" w:tplc="C5421DA6">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60"/>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9"/>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 w:numId="61" w16cid:durableId="9646990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0BA"/>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609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42"/>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36</Pages>
  <Words>12537</Words>
  <Characters>75228</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7</cp:revision>
  <cp:lastPrinted>2024-07-30T08:28:00Z</cp:lastPrinted>
  <dcterms:created xsi:type="dcterms:W3CDTF">2024-07-30T05:47:00Z</dcterms:created>
  <dcterms:modified xsi:type="dcterms:W3CDTF">2024-08-14T11:19:00Z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