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048355C" w14:textId="77777777" w:rsidR="00D82359" w:rsidRPr="005C0035" w:rsidRDefault="00D82359" w:rsidP="00D82359">
      <w:pPr>
        <w:jc w:val="center"/>
        <w:rPr>
          <w:rFonts w:cs="Arial"/>
          <w:b/>
          <w:bCs/>
          <w:sz w:val="32"/>
          <w:szCs w:val="32"/>
        </w:rPr>
      </w:pPr>
      <w:bookmarkStart w:id="0" w:name="_Hlk174433850"/>
      <w:r w:rsidRPr="005C0035">
        <w:rPr>
          <w:rFonts w:cs="Arial"/>
          <w:b/>
          <w:bCs/>
          <w:sz w:val="32"/>
          <w:szCs w:val="32"/>
        </w:rPr>
        <w:t>FEMA.02.04-IP.01-0</w:t>
      </w:r>
      <w:r>
        <w:rPr>
          <w:rFonts w:cs="Arial"/>
          <w:b/>
          <w:bCs/>
          <w:sz w:val="32"/>
          <w:szCs w:val="32"/>
        </w:rPr>
        <w:t>46</w:t>
      </w:r>
      <w:r w:rsidRPr="005C0035">
        <w:rPr>
          <w:rFonts w:cs="Arial"/>
          <w:b/>
          <w:bCs/>
          <w:sz w:val="32"/>
          <w:szCs w:val="32"/>
        </w:rPr>
        <w:t>/24</w:t>
      </w:r>
    </w:p>
    <w:bookmarkEnd w:id="0"/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5205068" w14:textId="77777777" w:rsidR="00D82359" w:rsidRPr="00985FA1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bookmarkStart w:id="1" w:name="_Hlk69719401"/>
      <w:r>
        <w:rPr>
          <w:rFonts w:cs="Arial"/>
          <w:b/>
          <w:sz w:val="32"/>
          <w:szCs w:val="32"/>
        </w:rPr>
        <w:t>Priorytet II</w:t>
      </w:r>
      <w:r w:rsidRPr="00985FA1">
        <w:rPr>
          <w:rFonts w:cs="Arial"/>
          <w:b/>
          <w:sz w:val="32"/>
          <w:szCs w:val="32"/>
        </w:rPr>
        <w:t xml:space="preserve"> </w:t>
      </w:r>
    </w:p>
    <w:bookmarkEnd w:id="1"/>
    <w:p w14:paraId="53B994E6" w14:textId="77777777" w:rsidR="00D82359" w:rsidRPr="005C0035" w:rsidRDefault="00D82359" w:rsidP="00D82359">
      <w:pPr>
        <w:spacing w:after="60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Fundusze Europejskie na zielony rozwój Mazowsza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77777777" w:rsidR="00D82359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Działanie 2.4</w:t>
      </w:r>
    </w:p>
    <w:p w14:paraId="135B0C36" w14:textId="77777777" w:rsidR="00D82359" w:rsidRPr="005C0035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Dostosowanie do zmian klimatu</w:t>
      </w:r>
    </w:p>
    <w:p w14:paraId="51F0A2DB" w14:textId="77777777" w:rsidR="00D82359" w:rsidRDefault="00D82359" w:rsidP="00D82359">
      <w:pPr>
        <w:spacing w:after="600"/>
        <w:jc w:val="center"/>
        <w:rPr>
          <w:rFonts w:cs="Arial"/>
          <w:b/>
          <w:sz w:val="32"/>
          <w:szCs w:val="32"/>
        </w:rPr>
      </w:pPr>
    </w:p>
    <w:p w14:paraId="26F03D6C" w14:textId="31562C5C" w:rsidR="00D82359" w:rsidRPr="005C0035" w:rsidRDefault="00D82359" w:rsidP="00D82359">
      <w:pPr>
        <w:spacing w:after="60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Typ projektów</w:t>
      </w:r>
    </w:p>
    <w:p w14:paraId="69712ED9" w14:textId="77777777" w:rsidR="00D82359" w:rsidRDefault="00D82359" w:rsidP="00D82359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Przeciwdziałanie skutkom suszy oraz ulewnych deszczy na obszarach zurbanizowanych poprzez zastosowanie zielonej i błękitnej infrastruktury</w:t>
      </w:r>
    </w:p>
    <w:p w14:paraId="2BEB0CD6" w14:textId="7E0CF882" w:rsidR="00060ABC" w:rsidRDefault="00060ABC" w:rsidP="00437247">
      <w:pPr>
        <w:spacing w:before="120" w:after="0" w:line="480" w:lineRule="auto"/>
        <w:rPr>
          <w:rFonts w:cs="Calibri"/>
          <w:b/>
          <w:bCs/>
          <w:i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69F15D92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D82359">
        <w:rPr>
          <w:rFonts w:cs="Arial"/>
          <w:b/>
          <w:bCs/>
          <w:color w:val="000000" w:themeColor="text1"/>
          <w:sz w:val="28"/>
          <w:szCs w:val="28"/>
        </w:rPr>
        <w:t xml:space="preserve">4 września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2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B6CA9" w14:textId="77777777" w:rsidR="008647A7" w:rsidRDefault="008647A7" w:rsidP="00FE74CD">
      <w:pPr>
        <w:spacing w:after="0" w:line="240" w:lineRule="auto"/>
      </w:pPr>
      <w:r>
        <w:separator/>
      </w:r>
    </w:p>
  </w:endnote>
  <w:endnote w:type="continuationSeparator" w:id="0">
    <w:p w14:paraId="1DA01586" w14:textId="77777777" w:rsidR="008647A7" w:rsidRDefault="008647A7" w:rsidP="00FE74CD">
      <w:pPr>
        <w:spacing w:after="0" w:line="240" w:lineRule="auto"/>
      </w:pPr>
      <w:r>
        <w:continuationSeparator/>
      </w:r>
    </w:p>
  </w:endnote>
  <w:endnote w:type="continuationNotice" w:id="1">
    <w:p w14:paraId="70FF73A6" w14:textId="77777777" w:rsidR="008647A7" w:rsidRDefault="00864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E5029" w14:textId="77777777" w:rsidR="008647A7" w:rsidRDefault="008647A7" w:rsidP="00FE74CD">
      <w:pPr>
        <w:spacing w:after="0" w:line="240" w:lineRule="auto"/>
      </w:pPr>
      <w:r>
        <w:separator/>
      </w:r>
    </w:p>
  </w:footnote>
  <w:footnote w:type="continuationSeparator" w:id="0">
    <w:p w14:paraId="7EE4A0C9" w14:textId="77777777" w:rsidR="008647A7" w:rsidRDefault="008647A7" w:rsidP="00FE74CD">
      <w:pPr>
        <w:spacing w:after="0" w:line="240" w:lineRule="auto"/>
      </w:pPr>
      <w:r>
        <w:continuationSeparator/>
      </w:r>
    </w:p>
  </w:footnote>
  <w:footnote w:type="continuationNotice" w:id="1">
    <w:p w14:paraId="2E42C547" w14:textId="77777777" w:rsidR="008647A7" w:rsidRDefault="008647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1"/>
  </w:num>
  <w:num w:numId="2" w16cid:durableId="1116101840">
    <w:abstractNumId w:val="8"/>
  </w:num>
  <w:num w:numId="3" w16cid:durableId="2108037804">
    <w:abstractNumId w:val="38"/>
  </w:num>
  <w:num w:numId="4" w16cid:durableId="135804213">
    <w:abstractNumId w:val="36"/>
  </w:num>
  <w:num w:numId="5" w16cid:durableId="569003822">
    <w:abstractNumId w:val="39"/>
  </w:num>
  <w:num w:numId="6" w16cid:durableId="620117138">
    <w:abstractNumId w:val="43"/>
  </w:num>
  <w:num w:numId="7" w16cid:durableId="195317889">
    <w:abstractNumId w:val="7"/>
  </w:num>
  <w:num w:numId="8" w16cid:durableId="792023575">
    <w:abstractNumId w:val="14"/>
  </w:num>
  <w:num w:numId="9" w16cid:durableId="72746993">
    <w:abstractNumId w:val="32"/>
  </w:num>
  <w:num w:numId="10" w16cid:durableId="741683866">
    <w:abstractNumId w:val="42"/>
  </w:num>
  <w:num w:numId="11" w16cid:durableId="640813186">
    <w:abstractNumId w:val="33"/>
  </w:num>
  <w:num w:numId="12" w16cid:durableId="311176542">
    <w:abstractNumId w:val="28"/>
  </w:num>
  <w:num w:numId="13" w16cid:durableId="1819883895">
    <w:abstractNumId w:val="21"/>
  </w:num>
  <w:num w:numId="14" w16cid:durableId="1135685135">
    <w:abstractNumId w:val="37"/>
  </w:num>
  <w:num w:numId="15" w16cid:durableId="103353751">
    <w:abstractNumId w:val="29"/>
  </w:num>
  <w:num w:numId="16" w16cid:durableId="406391642">
    <w:abstractNumId w:val="13"/>
  </w:num>
  <w:num w:numId="17" w16cid:durableId="278343977">
    <w:abstractNumId w:val="15"/>
  </w:num>
  <w:num w:numId="18" w16cid:durableId="65611779">
    <w:abstractNumId w:val="2"/>
  </w:num>
  <w:num w:numId="19" w16cid:durableId="2068607935">
    <w:abstractNumId w:val="34"/>
  </w:num>
  <w:num w:numId="20" w16cid:durableId="2004040034">
    <w:abstractNumId w:val="35"/>
  </w:num>
  <w:num w:numId="21" w16cid:durableId="320812000">
    <w:abstractNumId w:val="3"/>
  </w:num>
  <w:num w:numId="22" w16cid:durableId="216665383">
    <w:abstractNumId w:val="23"/>
  </w:num>
  <w:num w:numId="23" w16cid:durableId="511342241">
    <w:abstractNumId w:val="26"/>
  </w:num>
  <w:num w:numId="24" w16cid:durableId="1937784447">
    <w:abstractNumId w:val="9"/>
  </w:num>
  <w:num w:numId="25" w16cid:durableId="1026832991">
    <w:abstractNumId w:val="30"/>
  </w:num>
  <w:num w:numId="26" w16cid:durableId="1953628469">
    <w:abstractNumId w:val="18"/>
  </w:num>
  <w:num w:numId="27" w16cid:durableId="1483614812">
    <w:abstractNumId w:val="24"/>
  </w:num>
  <w:num w:numId="28" w16cid:durableId="263418806">
    <w:abstractNumId w:val="20"/>
  </w:num>
  <w:num w:numId="29" w16cid:durableId="1024554969">
    <w:abstractNumId w:val="16"/>
  </w:num>
  <w:num w:numId="30" w16cid:durableId="964896353">
    <w:abstractNumId w:val="0"/>
  </w:num>
  <w:num w:numId="31" w16cid:durableId="625621019">
    <w:abstractNumId w:val="11"/>
  </w:num>
  <w:num w:numId="32" w16cid:durableId="1841919481">
    <w:abstractNumId w:val="5"/>
  </w:num>
  <w:num w:numId="33" w16cid:durableId="81523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19"/>
  </w:num>
  <w:num w:numId="35" w16cid:durableId="1360162353">
    <w:abstractNumId w:val="40"/>
  </w:num>
  <w:num w:numId="36" w16cid:durableId="1398941527">
    <w:abstractNumId w:val="10"/>
  </w:num>
  <w:num w:numId="37" w16cid:durableId="190387497">
    <w:abstractNumId w:val="25"/>
  </w:num>
  <w:num w:numId="38" w16cid:durableId="1799911988">
    <w:abstractNumId w:val="27"/>
  </w:num>
  <w:num w:numId="39" w16cid:durableId="1495411169">
    <w:abstractNumId w:val="41"/>
  </w:num>
  <w:num w:numId="40" w16cid:durableId="1949699407">
    <w:abstractNumId w:val="4"/>
  </w:num>
  <w:num w:numId="41" w16cid:durableId="861549530">
    <w:abstractNumId w:val="1"/>
  </w:num>
  <w:num w:numId="42" w16cid:durableId="2008708359">
    <w:abstractNumId w:val="12"/>
  </w:num>
  <w:num w:numId="43" w16cid:durableId="1499342897">
    <w:abstractNumId w:val="22"/>
  </w:num>
  <w:num w:numId="44" w16cid:durableId="1459957089">
    <w:abstractNumId w:val="17"/>
  </w:num>
  <w:num w:numId="45" w16cid:durableId="12604605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8</Pages>
  <Words>2092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2024-03-22T09:42:00Z</cp:lastPrinted>
  <dcterms:created xsi:type="dcterms:W3CDTF">2024-08-29T11:58:00Z</dcterms:created>
  <dcterms:modified xsi:type="dcterms:W3CDTF">2024-08-29T11:58:00Z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