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B33A" w14:textId="36374493" w:rsidR="007B35ED" w:rsidRDefault="007B35ED" w:rsidP="007B35ED">
      <w:pPr>
        <w:pStyle w:val="Nagwek"/>
        <w:rPr>
          <w:b/>
          <w:i/>
        </w:rPr>
      </w:pPr>
      <w:r w:rsidRPr="00CE01EF">
        <w:rPr>
          <w:b/>
          <w:i/>
        </w:rPr>
        <w:t>Załącznik nr 1 do Procedury 8.</w:t>
      </w:r>
      <w:r>
        <w:rPr>
          <w:b/>
          <w:i/>
        </w:rPr>
        <w:t>1</w:t>
      </w:r>
      <w:r w:rsidRPr="00CE01EF">
        <w:rPr>
          <w:b/>
          <w:i/>
        </w:rPr>
        <w:t xml:space="preserve"> Procedura </w:t>
      </w:r>
      <w:r w:rsidR="00EC4072">
        <w:rPr>
          <w:b/>
          <w:i/>
        </w:rPr>
        <w:t xml:space="preserve">opracowania wzorów </w:t>
      </w:r>
      <w:r w:rsidRPr="00CE01EF">
        <w:rPr>
          <w:b/>
          <w:i/>
        </w:rPr>
        <w:t>umów</w:t>
      </w:r>
      <w:r w:rsidR="00475562">
        <w:rPr>
          <w:b/>
          <w:i/>
        </w:rPr>
        <w:t>, porozumień</w:t>
      </w:r>
      <w:r w:rsidR="00422697">
        <w:rPr>
          <w:b/>
          <w:i/>
        </w:rPr>
        <w:t xml:space="preserve"> i </w:t>
      </w:r>
      <w:r>
        <w:rPr>
          <w:b/>
          <w:i/>
        </w:rPr>
        <w:t>zasad realizacji projektu</w:t>
      </w:r>
      <w:r w:rsidRPr="00CE01EF">
        <w:rPr>
          <w:b/>
          <w:i/>
        </w:rPr>
        <w:t xml:space="preserve"> współfinansowanego z Europejskiego Funduszu Rozwoju Regionalnego w ramach </w:t>
      </w:r>
      <w:r w:rsidR="00104932">
        <w:rPr>
          <w:b/>
          <w:i/>
        </w:rPr>
        <w:t>FEM 2021-2027</w:t>
      </w:r>
      <w:r w:rsidR="00417E2A">
        <w:rPr>
          <w:b/>
          <w:i/>
        </w:rPr>
        <w:t xml:space="preserve"> oraz zmiany wzorów</w:t>
      </w:r>
    </w:p>
    <w:p w14:paraId="44BAA637" w14:textId="77777777" w:rsidR="00422697" w:rsidRDefault="00422697" w:rsidP="00104932">
      <w:pPr>
        <w:pStyle w:val="Nagwek"/>
        <w:rPr>
          <w:sz w:val="22"/>
          <w:szCs w:val="22"/>
        </w:rPr>
      </w:pPr>
    </w:p>
    <w:p w14:paraId="3070F9ED" w14:textId="217C9210" w:rsidR="005B3178" w:rsidRPr="002450B7" w:rsidRDefault="007B35ED" w:rsidP="002450B7">
      <w:pPr>
        <w:pStyle w:val="Nagwek"/>
        <w:rPr>
          <w:rFonts w:ascii="Aptos" w:hAnsi="Aptos"/>
          <w:sz w:val="22"/>
          <w:szCs w:val="22"/>
        </w:rPr>
      </w:pPr>
      <w:r w:rsidRPr="002450B7">
        <w:rPr>
          <w:rFonts w:ascii="Aptos" w:hAnsi="Aptos"/>
          <w:sz w:val="22"/>
          <w:szCs w:val="22"/>
        </w:rPr>
        <w:t>Karta zmiany</w:t>
      </w:r>
      <w:r w:rsidR="00D87200" w:rsidRPr="002450B7">
        <w:rPr>
          <w:rFonts w:ascii="Aptos" w:hAnsi="Aptos"/>
          <w:sz w:val="22"/>
          <w:szCs w:val="22"/>
        </w:rPr>
        <w:t>:</w:t>
      </w:r>
      <w:r w:rsidR="00104932" w:rsidRPr="002450B7">
        <w:rPr>
          <w:rFonts w:ascii="Aptos" w:hAnsi="Aptos"/>
          <w:sz w:val="22"/>
          <w:szCs w:val="22"/>
        </w:rPr>
        <w:t xml:space="preserve"> </w:t>
      </w:r>
      <w:r w:rsidR="002450B7" w:rsidRPr="002450B7">
        <w:rPr>
          <w:rFonts w:ascii="Aptos" w:hAnsi="Aptos"/>
          <w:sz w:val="22"/>
          <w:szCs w:val="22"/>
        </w:rPr>
        <w:t>wzoru Umowy o dofinansowanie Projektu współfinansowanego z Europejskiego Funduszu Rozwoju Regionalnego programu Fundusze Europejskie dla Mazowsza 2021 – 2027.</w:t>
      </w:r>
    </w:p>
    <w:p w14:paraId="632946CC" w14:textId="77777777" w:rsidR="002450B7" w:rsidRDefault="002450B7" w:rsidP="002450B7">
      <w:pPr>
        <w:pStyle w:val="Nagwek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1748"/>
        <w:gridCol w:w="4278"/>
        <w:gridCol w:w="4547"/>
        <w:gridCol w:w="2737"/>
      </w:tblGrid>
      <w:tr w:rsidR="00D16E26" w:rsidRPr="002450B7" w14:paraId="63F4BD04" w14:textId="77777777" w:rsidTr="00FA1626">
        <w:tc>
          <w:tcPr>
            <w:tcW w:w="687" w:type="dxa"/>
          </w:tcPr>
          <w:p w14:paraId="7930D7E1" w14:textId="77777777" w:rsidR="00D16E26" w:rsidRPr="002450B7" w:rsidRDefault="00D16E26" w:rsidP="00CC0353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  <w:r w:rsidRPr="002450B7">
              <w:rPr>
                <w:rFonts w:ascii="Aptos" w:hAnsi="Aptos"/>
                <w:sz w:val="22"/>
                <w:szCs w:val="22"/>
              </w:rPr>
              <w:t>Lp.</w:t>
            </w:r>
          </w:p>
        </w:tc>
        <w:tc>
          <w:tcPr>
            <w:tcW w:w="1748" w:type="dxa"/>
          </w:tcPr>
          <w:p w14:paraId="61D6CA52" w14:textId="77777777" w:rsidR="00D16E26" w:rsidRPr="002450B7" w:rsidRDefault="00D16E26" w:rsidP="00CA225B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  <w:r w:rsidRPr="002450B7">
              <w:rPr>
                <w:rFonts w:ascii="Aptos" w:hAnsi="Aptos"/>
                <w:sz w:val="22"/>
                <w:szCs w:val="22"/>
              </w:rPr>
              <w:t>Miejsce zmiany</w:t>
            </w:r>
          </w:p>
        </w:tc>
        <w:tc>
          <w:tcPr>
            <w:tcW w:w="4278" w:type="dxa"/>
          </w:tcPr>
          <w:p w14:paraId="081CA819" w14:textId="77777777" w:rsidR="00D16E26" w:rsidRPr="002450B7" w:rsidRDefault="00D16E26" w:rsidP="00CC0353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  <w:r w:rsidRPr="002450B7">
              <w:rPr>
                <w:rFonts w:ascii="Aptos" w:hAnsi="Aptos"/>
                <w:sz w:val="22"/>
                <w:szCs w:val="22"/>
              </w:rPr>
              <w:t>Dotychczasowy zapis</w:t>
            </w:r>
          </w:p>
        </w:tc>
        <w:tc>
          <w:tcPr>
            <w:tcW w:w="4547" w:type="dxa"/>
          </w:tcPr>
          <w:p w14:paraId="4E6987AB" w14:textId="77777777" w:rsidR="00D16E26" w:rsidRPr="002450B7" w:rsidRDefault="00D16E26" w:rsidP="00CC0353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  <w:r w:rsidRPr="002450B7">
              <w:rPr>
                <w:rFonts w:ascii="Aptos" w:hAnsi="Aptos"/>
                <w:sz w:val="22"/>
                <w:szCs w:val="22"/>
              </w:rPr>
              <w:t>Proponowany zapis</w:t>
            </w:r>
          </w:p>
        </w:tc>
        <w:tc>
          <w:tcPr>
            <w:tcW w:w="2737" w:type="dxa"/>
          </w:tcPr>
          <w:p w14:paraId="41869AFD" w14:textId="77777777" w:rsidR="00D16E26" w:rsidRPr="002450B7" w:rsidRDefault="00D16E26" w:rsidP="00CC0353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  <w:r w:rsidRPr="002450B7">
              <w:rPr>
                <w:rFonts w:ascii="Aptos" w:hAnsi="Aptos"/>
                <w:sz w:val="22"/>
                <w:szCs w:val="22"/>
              </w:rPr>
              <w:t>Uzasadnienie/Uwagi</w:t>
            </w:r>
          </w:p>
        </w:tc>
      </w:tr>
      <w:tr w:rsidR="008C4844" w:rsidRPr="00694FB8" w14:paraId="520196FA" w14:textId="77777777" w:rsidTr="00FA1626">
        <w:tc>
          <w:tcPr>
            <w:tcW w:w="687" w:type="dxa"/>
          </w:tcPr>
          <w:p w14:paraId="3F042BE1" w14:textId="45ECAE33" w:rsidR="008C4844" w:rsidRPr="00694FB8" w:rsidRDefault="003F7C48" w:rsidP="008C4844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694FB8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1748" w:type="dxa"/>
          </w:tcPr>
          <w:p w14:paraId="1E142005" w14:textId="274D4A84" w:rsidR="008C4844" w:rsidRPr="00694FB8" w:rsidRDefault="005C0D34" w:rsidP="008C4844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Str. 2 pkt 3</w:t>
            </w:r>
          </w:p>
        </w:tc>
        <w:tc>
          <w:tcPr>
            <w:tcW w:w="4278" w:type="dxa"/>
          </w:tcPr>
          <w:p w14:paraId="7FEBB97E" w14:textId="10051E95" w:rsidR="005C0D34" w:rsidRPr="0065216E" w:rsidRDefault="005C0D34" w:rsidP="005C0D34">
            <w:pPr>
              <w:tabs>
                <w:tab w:val="left" w:pos="567"/>
              </w:tabs>
              <w:suppressAutoHyphens/>
              <w:adjustRightInd/>
              <w:spacing w:line="276" w:lineRule="auto"/>
              <w:jc w:val="left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65216E">
              <w:rPr>
                <w:rFonts w:ascii="Aptos" w:hAnsi="Aptos" w:cs="Arial"/>
                <w:color w:val="000000" w:themeColor="text1"/>
                <w:sz w:val="22"/>
                <w:szCs w:val="22"/>
              </w:rPr>
              <w:t>rozporządzenia Parlamentu Europejskiego i Rady (UE, Euratom) 2024/2509 z dnia 23</w:t>
            </w:r>
            <w:r w:rsidR="0059219E">
              <w:rPr>
                <w:rFonts w:ascii="Aptos" w:hAnsi="Aptos" w:cs="Arial"/>
                <w:color w:val="000000" w:themeColor="text1"/>
                <w:sz w:val="22"/>
                <w:szCs w:val="22"/>
              </w:rPr>
              <w:t> </w:t>
            </w:r>
            <w:r w:rsidRPr="0065216E">
              <w:rPr>
                <w:rFonts w:ascii="Aptos" w:hAnsi="Aptos" w:cs="Arial"/>
                <w:color w:val="000000" w:themeColor="text1"/>
                <w:sz w:val="22"/>
                <w:szCs w:val="22"/>
              </w:rPr>
              <w:t>września 2024 r. w sprawie zasad finansowych mających zastosowanie do</w:t>
            </w:r>
            <w:r w:rsidR="0059219E">
              <w:rPr>
                <w:rFonts w:ascii="Aptos" w:hAnsi="Aptos" w:cs="Arial"/>
                <w:color w:val="000000" w:themeColor="text1"/>
                <w:sz w:val="22"/>
                <w:szCs w:val="22"/>
              </w:rPr>
              <w:t> </w:t>
            </w:r>
            <w:r w:rsidRPr="0065216E">
              <w:rPr>
                <w:rFonts w:ascii="Aptos" w:hAnsi="Aptos" w:cs="Arial"/>
                <w:color w:val="000000" w:themeColor="text1"/>
                <w:sz w:val="22"/>
                <w:szCs w:val="22"/>
              </w:rPr>
              <w:t>budżetu ogólnego Unii</w:t>
            </w:r>
            <w:r w:rsidRPr="00617746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</w:t>
            </w:r>
            <w:r w:rsidRPr="0065216E">
              <w:rPr>
                <w:rFonts w:ascii="Aptos" w:hAnsi="Aptos" w:cstheme="minorHAnsi"/>
                <w:sz w:val="22"/>
                <w:szCs w:val="22"/>
              </w:rPr>
              <w:t>(wersja przekształcona), (Dz. U. UE. L. z dnia 26</w:t>
            </w:r>
            <w:r w:rsidR="0059219E">
              <w:rPr>
                <w:rFonts w:ascii="Aptos" w:hAnsi="Aptos" w:cstheme="minorHAnsi"/>
                <w:sz w:val="22"/>
                <w:szCs w:val="22"/>
              </w:rPr>
              <w:t> </w:t>
            </w:r>
            <w:r w:rsidRPr="0065216E">
              <w:rPr>
                <w:rFonts w:ascii="Aptos" w:hAnsi="Aptos" w:cstheme="minorHAnsi"/>
                <w:sz w:val="22"/>
                <w:szCs w:val="22"/>
              </w:rPr>
              <w:t>września 2024)</w:t>
            </w:r>
            <w:r w:rsidRPr="0065216E">
              <w:rPr>
                <w:rFonts w:ascii="Aptos" w:hAnsi="Aptos"/>
                <w:sz w:val="22"/>
                <w:szCs w:val="22"/>
              </w:rPr>
              <w:t xml:space="preserve"> (zwanego dalej: </w:t>
            </w:r>
            <w:bookmarkStart w:id="0" w:name="_Hlk114489825"/>
            <w:r w:rsidRPr="0065216E">
              <w:rPr>
                <w:rFonts w:ascii="Aptos" w:hAnsi="Aptos"/>
                <w:sz w:val="22"/>
                <w:szCs w:val="22"/>
              </w:rPr>
              <w:t>RF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65216E">
              <w:rPr>
                <w:rFonts w:ascii="Aptos" w:hAnsi="Aptos"/>
                <w:sz w:val="22"/>
                <w:szCs w:val="22"/>
              </w:rPr>
              <w:t>2024</w:t>
            </w:r>
            <w:bookmarkEnd w:id="0"/>
            <w:r>
              <w:rPr>
                <w:rFonts w:ascii="Aptos" w:hAnsi="Aptos"/>
                <w:sz w:val="22"/>
                <w:szCs w:val="22"/>
              </w:rPr>
              <w:t>/2509</w:t>
            </w:r>
            <w:r w:rsidRPr="0065216E">
              <w:rPr>
                <w:rFonts w:ascii="Aptos" w:hAnsi="Aptos"/>
                <w:sz w:val="22"/>
                <w:szCs w:val="22"/>
              </w:rPr>
              <w:t>)</w:t>
            </w:r>
            <w:r w:rsidRPr="0065216E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; </w:t>
            </w:r>
          </w:p>
          <w:p w14:paraId="051D2C06" w14:textId="11380273" w:rsidR="008C4844" w:rsidRPr="00CD395C" w:rsidRDefault="005C0D34" w:rsidP="005C0D34">
            <w:pPr>
              <w:widowControl/>
              <w:tabs>
                <w:tab w:val="left" w:pos="709"/>
              </w:tabs>
              <w:autoSpaceDE w:val="0"/>
              <w:autoSpaceDN w:val="0"/>
              <w:spacing w:line="276" w:lineRule="auto"/>
              <w:jc w:val="left"/>
              <w:rPr>
                <w:rFonts w:ascii="Aptos" w:hAnsi="Aptos" w:cs="Arial"/>
                <w:bCs/>
                <w:sz w:val="22"/>
                <w:szCs w:val="22"/>
              </w:rPr>
            </w:pPr>
            <w:r w:rsidRPr="0065216E">
              <w:rPr>
                <w:rFonts w:ascii="Aptos" w:hAnsi="Aptos" w:cs="Arial"/>
                <w:sz w:val="22"/>
                <w:szCs w:val="22"/>
              </w:rPr>
              <w:t>rozporządzenia Parlamentu Europejskiego i Rady (UE) 2016/679 z dnia 27 kwietnia 2016 r.</w:t>
            </w:r>
          </w:p>
        </w:tc>
        <w:tc>
          <w:tcPr>
            <w:tcW w:w="4547" w:type="dxa"/>
          </w:tcPr>
          <w:p w14:paraId="0741C043" w14:textId="59BBA9EA" w:rsidR="005C0D34" w:rsidRPr="0065216E" w:rsidRDefault="005C0D34" w:rsidP="005C0D34">
            <w:pPr>
              <w:tabs>
                <w:tab w:val="left" w:pos="567"/>
              </w:tabs>
              <w:suppressAutoHyphens/>
              <w:adjustRightInd/>
              <w:spacing w:line="276" w:lineRule="auto"/>
              <w:jc w:val="left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65216E">
              <w:rPr>
                <w:rFonts w:ascii="Aptos" w:hAnsi="Aptos" w:cs="Arial"/>
                <w:color w:val="000000" w:themeColor="text1"/>
                <w:sz w:val="22"/>
                <w:szCs w:val="22"/>
              </w:rPr>
              <w:t>rozporządzenia Parlamentu Europejskiego i</w:t>
            </w:r>
            <w:r w:rsidR="00FA1626">
              <w:rPr>
                <w:rFonts w:ascii="Aptos" w:hAnsi="Aptos" w:cs="Arial"/>
                <w:color w:val="000000" w:themeColor="text1"/>
                <w:sz w:val="22"/>
                <w:szCs w:val="22"/>
              </w:rPr>
              <w:t> </w:t>
            </w:r>
            <w:r w:rsidRPr="0065216E">
              <w:rPr>
                <w:rFonts w:ascii="Aptos" w:hAnsi="Aptos" w:cs="Arial"/>
                <w:color w:val="000000" w:themeColor="text1"/>
                <w:sz w:val="22"/>
                <w:szCs w:val="22"/>
              </w:rPr>
              <w:t>Rady (UE, Euratom) 2024/2509 z dnia 23</w:t>
            </w:r>
            <w:r w:rsidR="0059219E">
              <w:rPr>
                <w:rFonts w:ascii="Aptos" w:hAnsi="Aptos" w:cs="Arial"/>
                <w:color w:val="000000" w:themeColor="text1"/>
                <w:sz w:val="22"/>
                <w:szCs w:val="22"/>
              </w:rPr>
              <w:t> </w:t>
            </w:r>
            <w:r w:rsidRPr="0065216E">
              <w:rPr>
                <w:rFonts w:ascii="Aptos" w:hAnsi="Aptos" w:cs="Arial"/>
                <w:color w:val="000000" w:themeColor="text1"/>
                <w:sz w:val="22"/>
                <w:szCs w:val="22"/>
              </w:rPr>
              <w:t>września 2024 r. w sprawie zasad finansowych mających zastosowanie do</w:t>
            </w:r>
            <w:r w:rsidR="0059219E">
              <w:rPr>
                <w:rFonts w:ascii="Aptos" w:hAnsi="Aptos" w:cs="Arial"/>
                <w:color w:val="000000" w:themeColor="text1"/>
                <w:sz w:val="22"/>
                <w:szCs w:val="22"/>
              </w:rPr>
              <w:t> </w:t>
            </w:r>
            <w:r w:rsidRPr="0065216E">
              <w:rPr>
                <w:rFonts w:ascii="Aptos" w:hAnsi="Aptos" w:cs="Arial"/>
                <w:color w:val="000000" w:themeColor="text1"/>
                <w:sz w:val="22"/>
                <w:szCs w:val="22"/>
              </w:rPr>
              <w:t>budżetu ogólnego Unii</w:t>
            </w:r>
            <w:r w:rsidRPr="00617746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</w:t>
            </w:r>
            <w:r w:rsidRPr="0065216E">
              <w:rPr>
                <w:rFonts w:ascii="Aptos" w:hAnsi="Aptos" w:cstheme="minorHAnsi"/>
                <w:sz w:val="22"/>
                <w:szCs w:val="22"/>
              </w:rPr>
              <w:t xml:space="preserve">(wersja przekształcona), (Dz. U. UE. L. </w:t>
            </w:r>
            <w:r w:rsidRPr="005C0D34">
              <w:rPr>
                <w:rFonts w:ascii="Aptos" w:hAnsi="Aptos" w:cstheme="minorHAnsi"/>
                <w:color w:val="FF0000"/>
                <w:sz w:val="22"/>
                <w:szCs w:val="22"/>
              </w:rPr>
              <w:t>2024.2509</w:t>
            </w:r>
            <w:r w:rsidRPr="0065216E">
              <w:rPr>
                <w:rFonts w:ascii="Aptos" w:hAnsi="Aptos" w:cstheme="minorHAnsi"/>
                <w:sz w:val="22"/>
                <w:szCs w:val="22"/>
              </w:rPr>
              <w:t>)</w:t>
            </w:r>
            <w:r w:rsidRPr="0065216E">
              <w:rPr>
                <w:rFonts w:ascii="Aptos" w:hAnsi="Aptos"/>
                <w:sz w:val="22"/>
                <w:szCs w:val="22"/>
              </w:rPr>
              <w:t xml:space="preserve"> zwanego dalej: RF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65216E">
              <w:rPr>
                <w:rFonts w:ascii="Aptos" w:hAnsi="Aptos"/>
                <w:sz w:val="22"/>
                <w:szCs w:val="22"/>
              </w:rPr>
              <w:t>2024</w:t>
            </w:r>
            <w:r>
              <w:rPr>
                <w:rFonts w:ascii="Aptos" w:hAnsi="Aptos"/>
                <w:sz w:val="22"/>
                <w:szCs w:val="22"/>
              </w:rPr>
              <w:t>/2509</w:t>
            </w:r>
            <w:r w:rsidRPr="0065216E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; </w:t>
            </w:r>
          </w:p>
          <w:p w14:paraId="4B2E8B3D" w14:textId="3CFF49EF" w:rsidR="009B0928" w:rsidRPr="00CD395C" w:rsidRDefault="009B0928" w:rsidP="00CD395C">
            <w:pPr>
              <w:widowControl/>
              <w:tabs>
                <w:tab w:val="left" w:pos="709"/>
              </w:tabs>
              <w:autoSpaceDE w:val="0"/>
              <w:autoSpaceDN w:val="0"/>
              <w:spacing w:line="276" w:lineRule="auto"/>
              <w:jc w:val="left"/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2737" w:type="dxa"/>
          </w:tcPr>
          <w:p w14:paraId="53A091AE" w14:textId="4F7F7204" w:rsidR="008C4844" w:rsidRPr="00694FB8" w:rsidRDefault="00CD395C" w:rsidP="008C4844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Aktualizacja aktów prawnych</w:t>
            </w:r>
          </w:p>
        </w:tc>
      </w:tr>
      <w:tr w:rsidR="00987E3F" w:rsidRPr="0026525E" w14:paraId="08021343" w14:textId="77777777" w:rsidTr="00FA1626">
        <w:tc>
          <w:tcPr>
            <w:tcW w:w="687" w:type="dxa"/>
          </w:tcPr>
          <w:p w14:paraId="12C3EB50" w14:textId="3CB99EF1" w:rsidR="00987E3F" w:rsidRPr="0026525E" w:rsidRDefault="00132335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26525E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748" w:type="dxa"/>
          </w:tcPr>
          <w:p w14:paraId="01270893" w14:textId="67EFFE78" w:rsidR="00987E3F" w:rsidRPr="0026525E" w:rsidRDefault="00987E3F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26525E">
              <w:rPr>
                <w:rFonts w:ascii="Aptos" w:hAnsi="Aptos"/>
                <w:sz w:val="22"/>
                <w:szCs w:val="22"/>
              </w:rPr>
              <w:t>Par. 3 ust. 7</w:t>
            </w:r>
          </w:p>
        </w:tc>
        <w:tc>
          <w:tcPr>
            <w:tcW w:w="4278" w:type="dxa"/>
          </w:tcPr>
          <w:p w14:paraId="51809ED5" w14:textId="2EAA924D" w:rsidR="00987E3F" w:rsidRPr="0026525E" w:rsidRDefault="00987E3F" w:rsidP="00987E3F">
            <w:pPr>
              <w:spacing w:line="276" w:lineRule="auto"/>
              <w:jc w:val="left"/>
              <w:rPr>
                <w:rFonts w:ascii="Aptos" w:hAnsi="Aptos" w:cs="Arial"/>
              </w:rPr>
            </w:pPr>
            <w:r w:rsidRPr="0026525E">
              <w:rPr>
                <w:rStyle w:val="cf01"/>
                <w:rFonts w:ascii="Aptos" w:hAnsi="Aptos" w:cs="Arial"/>
                <w:sz w:val="22"/>
                <w:szCs w:val="22"/>
              </w:rPr>
              <w:t>Beneficjent zobowiązany jest do</w:t>
            </w:r>
            <w:r w:rsidR="0059219E">
              <w:rPr>
                <w:rStyle w:val="cf01"/>
                <w:rFonts w:ascii="Aptos" w:hAnsi="Aptos" w:cs="Arial"/>
                <w:sz w:val="22"/>
                <w:szCs w:val="22"/>
              </w:rPr>
              <w:t xml:space="preserve"> </w:t>
            </w:r>
            <w:r w:rsidRPr="0026525E">
              <w:rPr>
                <w:rStyle w:val="cf01"/>
                <w:rFonts w:ascii="Aptos" w:hAnsi="Aptos" w:cs="Arial"/>
                <w:sz w:val="22"/>
                <w:szCs w:val="22"/>
              </w:rPr>
              <w:t>aktualizacji harmonogramu zamówień publicznych w ramach Projektu na każde wezwanie MJWPU i w sposób przez nią wskazany.</w:t>
            </w:r>
          </w:p>
        </w:tc>
        <w:tc>
          <w:tcPr>
            <w:tcW w:w="4547" w:type="dxa"/>
          </w:tcPr>
          <w:p w14:paraId="4E5A2A65" w14:textId="7FDB79BD" w:rsidR="00987E3F" w:rsidRPr="0026525E" w:rsidRDefault="00987E3F" w:rsidP="00987E3F">
            <w:pPr>
              <w:spacing w:line="276" w:lineRule="auto"/>
              <w:jc w:val="left"/>
              <w:rPr>
                <w:rFonts w:ascii="Aptos" w:hAnsi="Aptos" w:cs="Arial"/>
              </w:rPr>
            </w:pPr>
            <w:r w:rsidRPr="0026525E">
              <w:rPr>
                <w:rStyle w:val="cf01"/>
                <w:rFonts w:ascii="Aptos" w:hAnsi="Aptos" w:cs="Arial"/>
                <w:sz w:val="22"/>
                <w:szCs w:val="22"/>
              </w:rPr>
              <w:t>Beneficjent zobowiązany jest do aktualizacji harmonogramu zamówień publicznych w</w:t>
            </w:r>
            <w:r w:rsidR="00FA1626">
              <w:rPr>
                <w:rStyle w:val="cf01"/>
                <w:rFonts w:ascii="Aptos" w:hAnsi="Aptos" w:cs="Arial"/>
                <w:sz w:val="22"/>
                <w:szCs w:val="22"/>
              </w:rPr>
              <w:t> </w:t>
            </w:r>
            <w:r w:rsidRPr="0026525E">
              <w:rPr>
                <w:rStyle w:val="cf01"/>
                <w:rFonts w:ascii="Aptos" w:hAnsi="Aptos" w:cs="Arial"/>
                <w:sz w:val="22"/>
                <w:szCs w:val="22"/>
              </w:rPr>
              <w:t xml:space="preserve">ramach Projektu na każde wezwanie MJWPU i w sposób przez nią wskazany. </w:t>
            </w:r>
            <w:bookmarkStart w:id="1" w:name="_Hlk212805197"/>
            <w:r w:rsidRPr="0026525E">
              <w:rPr>
                <w:rStyle w:val="cf01"/>
                <w:rFonts w:ascii="Aptos" w:hAnsi="Aptos" w:cs="Arial"/>
                <w:color w:val="FF0000"/>
                <w:sz w:val="22"/>
                <w:szCs w:val="22"/>
              </w:rPr>
              <w:t>Harmonogram zamówień publicznych musi przewidywać realizację wszystkich zaplanowanych przetargów odpowiednio wcześnie, tak aby zadania Projektu zakończyły się do dnia zakończenia realizacji Projektu.</w:t>
            </w:r>
            <w:bookmarkEnd w:id="1"/>
          </w:p>
        </w:tc>
        <w:tc>
          <w:tcPr>
            <w:tcW w:w="2737" w:type="dxa"/>
          </w:tcPr>
          <w:p w14:paraId="741941E6" w14:textId="3EBB4B8C" w:rsidR="00987E3F" w:rsidRPr="0026525E" w:rsidRDefault="00987E3F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26525E">
              <w:rPr>
                <w:rStyle w:val="cf01"/>
                <w:rFonts w:ascii="Aptos" w:hAnsi="Aptos"/>
                <w:sz w:val="22"/>
                <w:szCs w:val="22"/>
              </w:rPr>
              <w:t>Propozycja Biura Programowania EFRR: dodano uwagę zgodnie z zaleceniem ZWM z posiedzenia z</w:t>
            </w:r>
            <w:r w:rsidR="009D3A78">
              <w:rPr>
                <w:rStyle w:val="cf01"/>
                <w:rFonts w:ascii="Aptos" w:hAnsi="Aptos"/>
                <w:sz w:val="22"/>
                <w:szCs w:val="22"/>
              </w:rPr>
              <w:t> </w:t>
            </w:r>
            <w:r w:rsidRPr="0026525E">
              <w:rPr>
                <w:rStyle w:val="cf01"/>
                <w:rFonts w:ascii="Aptos" w:hAnsi="Aptos"/>
                <w:sz w:val="22"/>
                <w:szCs w:val="22"/>
              </w:rPr>
              <w:t xml:space="preserve">12.08.2025 r.: - harmonogram zamówień publicznych musi przewidywać realizację </w:t>
            </w:r>
            <w:r w:rsidRPr="0026525E">
              <w:rPr>
                <w:rStyle w:val="cf21"/>
                <w:rFonts w:ascii="Aptos" w:hAnsi="Aptos"/>
                <w:sz w:val="22"/>
                <w:szCs w:val="22"/>
              </w:rPr>
              <w:lastRenderedPageBreak/>
              <w:t>wszystkich zaplanowanych w projekcie przetargów odpowiednio wcześnie, tak aby zadania projektu zakończyły się do dnia zakończenia realizacji projektu”.</w:t>
            </w:r>
          </w:p>
        </w:tc>
      </w:tr>
      <w:tr w:rsidR="00987E3F" w:rsidRPr="005C0D34" w14:paraId="17DA4713" w14:textId="77777777" w:rsidTr="00FA1626">
        <w:tc>
          <w:tcPr>
            <w:tcW w:w="687" w:type="dxa"/>
          </w:tcPr>
          <w:p w14:paraId="2209DBB3" w14:textId="585A805E" w:rsidR="00987E3F" w:rsidRPr="005C0D34" w:rsidRDefault="00132335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lastRenderedPageBreak/>
              <w:t>3</w:t>
            </w:r>
          </w:p>
        </w:tc>
        <w:tc>
          <w:tcPr>
            <w:tcW w:w="1748" w:type="dxa"/>
          </w:tcPr>
          <w:p w14:paraId="6F3E2490" w14:textId="06F7EEAD" w:rsidR="00987E3F" w:rsidRPr="005C0D34" w:rsidRDefault="00987E3F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Par. 3 ust. 27</w:t>
            </w:r>
          </w:p>
        </w:tc>
        <w:tc>
          <w:tcPr>
            <w:tcW w:w="4278" w:type="dxa"/>
          </w:tcPr>
          <w:p w14:paraId="3E0D8D8B" w14:textId="051F75B5" w:rsidR="00987E3F" w:rsidRPr="005C0D34" w:rsidRDefault="00987E3F" w:rsidP="00987E3F">
            <w:pPr>
              <w:widowControl/>
              <w:tabs>
                <w:tab w:val="left" w:pos="426"/>
              </w:tabs>
              <w:autoSpaceDE w:val="0"/>
              <w:autoSpaceDN w:val="0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Brak zapisu</w:t>
            </w:r>
          </w:p>
        </w:tc>
        <w:tc>
          <w:tcPr>
            <w:tcW w:w="4547" w:type="dxa"/>
          </w:tcPr>
          <w:p w14:paraId="28FBD042" w14:textId="4AE77EEE" w:rsidR="00987E3F" w:rsidRPr="003C544B" w:rsidRDefault="00987E3F" w:rsidP="00987E3F">
            <w:pPr>
              <w:tabs>
                <w:tab w:val="left" w:pos="3555"/>
              </w:tabs>
              <w:spacing w:line="276" w:lineRule="auto"/>
              <w:jc w:val="left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5C0D34">
              <w:rPr>
                <w:rFonts w:ascii="Aptos" w:hAnsi="Aptos" w:cs="Arial"/>
                <w:sz w:val="22"/>
                <w:szCs w:val="22"/>
              </w:rPr>
              <w:t>Beneficjent jest zobowiązany do zapewnienia możliwości udziału w Projekcie osobom ze szczególnymi potrzebami, w tym osobom z</w:t>
            </w:r>
            <w:r>
              <w:rPr>
                <w:rFonts w:ascii="Aptos" w:hAnsi="Aptos" w:cs="Arial"/>
                <w:sz w:val="22"/>
                <w:szCs w:val="22"/>
              </w:rPr>
              <w:t> </w:t>
            </w:r>
            <w:r w:rsidRPr="005C0D34">
              <w:rPr>
                <w:rFonts w:ascii="Aptos" w:hAnsi="Aptos" w:cs="Arial"/>
                <w:sz w:val="22"/>
                <w:szCs w:val="22"/>
              </w:rPr>
              <w:t>niepełnosprawnościami, poprzez możliwość zastosowania mechanizmu racjonalnych usprawnień w rozumieniu ustawy z dnia 19</w:t>
            </w:r>
            <w:r>
              <w:rPr>
                <w:rFonts w:ascii="Aptos" w:hAnsi="Aptos" w:cs="Arial"/>
                <w:sz w:val="22"/>
                <w:szCs w:val="22"/>
              </w:rPr>
              <w:t> </w:t>
            </w:r>
            <w:r w:rsidRPr="005C0D34">
              <w:rPr>
                <w:rFonts w:ascii="Aptos" w:hAnsi="Aptos" w:cs="Arial"/>
                <w:sz w:val="22"/>
                <w:szCs w:val="22"/>
              </w:rPr>
              <w:t>lipca 2019 r. o zapewnieniu dostępności osobom ze szczególnymi potrzebami (</w:t>
            </w:r>
            <w:r>
              <w:rPr>
                <w:rFonts w:ascii="Aptos" w:hAnsi="Aptos" w:cs="Arial"/>
                <w:sz w:val="22"/>
                <w:szCs w:val="22"/>
              </w:rPr>
              <w:t>D</w:t>
            </w:r>
            <w:r w:rsidRPr="005C0D34">
              <w:rPr>
                <w:rFonts w:ascii="Aptos" w:hAnsi="Aptos" w:cs="Arial"/>
                <w:sz w:val="22"/>
                <w:szCs w:val="22"/>
              </w:rPr>
              <w:t>z. U. z</w:t>
            </w:r>
            <w:r>
              <w:rPr>
                <w:rFonts w:ascii="Aptos" w:hAnsi="Aptos" w:cs="Arial"/>
                <w:sz w:val="22"/>
                <w:szCs w:val="22"/>
              </w:rPr>
              <w:t> </w:t>
            </w:r>
            <w:r w:rsidRPr="005C0D34">
              <w:rPr>
                <w:rFonts w:ascii="Aptos" w:hAnsi="Aptos" w:cs="Arial"/>
                <w:sz w:val="22"/>
                <w:szCs w:val="22"/>
              </w:rPr>
              <w:t>2024 r. poz. 1411).</w:t>
            </w:r>
            <w:r w:rsidRPr="005C0D34">
              <w:rPr>
                <w:rFonts w:ascii="Aptos" w:hAnsi="Aptos" w:cs="Arial"/>
                <w:color w:val="FF0000"/>
                <w:sz w:val="22"/>
                <w:szCs w:val="22"/>
              </w:rPr>
              <w:t xml:space="preserve"> </w:t>
            </w:r>
            <w:r w:rsidRPr="005C0D34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Racjonalne usprawnienia mogą polegać </w:t>
            </w:r>
            <w:r w:rsidRPr="005C0D34">
              <w:rPr>
                <w:rFonts w:ascii="Aptos" w:hAnsi="Aptos" w:cs="Arial"/>
                <w:sz w:val="22"/>
                <w:szCs w:val="22"/>
              </w:rPr>
              <w:t>w</w:t>
            </w:r>
            <w:r w:rsidR="00FA1626">
              <w:rPr>
                <w:rFonts w:ascii="Aptos" w:hAnsi="Aptos" w:cs="Arial"/>
                <w:sz w:val="22"/>
                <w:szCs w:val="22"/>
              </w:rPr>
              <w:t> </w:t>
            </w:r>
            <w:r w:rsidRPr="005C0D34">
              <w:rPr>
                <w:rFonts w:ascii="Aptos" w:hAnsi="Aptos" w:cs="Arial"/>
                <w:sz w:val="22"/>
                <w:szCs w:val="22"/>
              </w:rPr>
              <w:t xml:space="preserve">szczególności </w:t>
            </w:r>
            <w:r w:rsidRPr="005C0D34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na przystosowaniu pomieszczenia (likwidacja barier architektonicznych), odpowiednim wyposażeniu (np. sprzęt biurowy sterowany głosem – ułatwienie dla osób niewidomych, umożliwienie skorzystania z alternatywnych form komunikacji – zatrudnienie tłumacza języka migowego), jak również ustaleniu czasu pracy, podziału zadań lub oferty kształceniowej lub integracyjnej w zależności od rodzaju niepełnosprawności i zgłoszonych </w:t>
            </w:r>
            <w:r w:rsidRPr="005C0D34">
              <w:rPr>
                <w:rFonts w:ascii="Aptos" w:hAnsi="Aptos" w:cs="Arial"/>
                <w:color w:val="000000" w:themeColor="text1"/>
                <w:sz w:val="22"/>
                <w:szCs w:val="22"/>
              </w:rPr>
              <w:lastRenderedPageBreak/>
              <w:t xml:space="preserve">potrzeb. </w:t>
            </w:r>
          </w:p>
        </w:tc>
        <w:tc>
          <w:tcPr>
            <w:tcW w:w="2737" w:type="dxa"/>
          </w:tcPr>
          <w:p w14:paraId="5F7147BF" w14:textId="3408D94E" w:rsidR="00987E3F" w:rsidRPr="005C0D34" w:rsidRDefault="00987E3F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lastRenderedPageBreak/>
              <w:t>Zgodnie z pismem MFiPR znak DZF-XIII.6461.64.2025.DW z 26</w:t>
            </w:r>
            <w:r w:rsidR="0059219E">
              <w:rPr>
                <w:rFonts w:ascii="Aptos" w:hAnsi="Aptos"/>
                <w:sz w:val="22"/>
                <w:szCs w:val="22"/>
              </w:rPr>
              <w:t> </w:t>
            </w:r>
            <w:r>
              <w:rPr>
                <w:rFonts w:ascii="Aptos" w:hAnsi="Aptos"/>
                <w:sz w:val="22"/>
                <w:szCs w:val="22"/>
              </w:rPr>
              <w:t>września 2025 r. oraz pismem znak RF-EFS.430.28.2025.ML z</w:t>
            </w:r>
            <w:r w:rsidR="0059219E">
              <w:rPr>
                <w:rFonts w:ascii="Aptos" w:hAnsi="Aptos"/>
                <w:sz w:val="22"/>
                <w:szCs w:val="22"/>
              </w:rPr>
              <w:t> </w:t>
            </w:r>
            <w:r>
              <w:rPr>
                <w:rFonts w:ascii="Aptos" w:hAnsi="Aptos"/>
                <w:sz w:val="22"/>
                <w:szCs w:val="22"/>
              </w:rPr>
              <w:t>7</w:t>
            </w:r>
            <w:r w:rsidR="0059219E">
              <w:rPr>
                <w:rFonts w:ascii="Aptos" w:hAnsi="Aptos"/>
                <w:sz w:val="22"/>
                <w:szCs w:val="22"/>
              </w:rPr>
              <w:t> </w:t>
            </w:r>
            <w:r>
              <w:rPr>
                <w:rFonts w:ascii="Aptos" w:hAnsi="Aptos"/>
                <w:sz w:val="22"/>
                <w:szCs w:val="22"/>
              </w:rPr>
              <w:t>października 2025 r.</w:t>
            </w:r>
            <w:r w:rsidR="009B28AF">
              <w:rPr>
                <w:rFonts w:ascii="Aptos" w:hAnsi="Aptos"/>
                <w:sz w:val="22"/>
                <w:szCs w:val="22"/>
              </w:rPr>
              <w:t xml:space="preserve"> w</w:t>
            </w:r>
            <w:r w:rsidR="0059219E">
              <w:rPr>
                <w:rFonts w:ascii="Aptos" w:hAnsi="Aptos"/>
                <w:sz w:val="22"/>
                <w:szCs w:val="22"/>
              </w:rPr>
              <w:t> </w:t>
            </w:r>
            <w:r w:rsidR="009B28AF">
              <w:rPr>
                <w:rFonts w:ascii="Aptos" w:hAnsi="Aptos"/>
                <w:sz w:val="22"/>
                <w:szCs w:val="22"/>
              </w:rPr>
              <w:t>sprawie dostępności zamówień publicznych dla osób ze szczególnymi potrzebami.</w:t>
            </w:r>
          </w:p>
        </w:tc>
      </w:tr>
      <w:tr w:rsidR="007D4CE4" w:rsidRPr="005C0D34" w14:paraId="0A1D69B9" w14:textId="77777777" w:rsidTr="00FA1626">
        <w:tc>
          <w:tcPr>
            <w:tcW w:w="687" w:type="dxa"/>
          </w:tcPr>
          <w:p w14:paraId="398ECA8E" w14:textId="1F6C2C3A" w:rsidR="007D4CE4" w:rsidRDefault="007D4CE4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1748" w:type="dxa"/>
          </w:tcPr>
          <w:p w14:paraId="35FD87B2" w14:textId="1A02BA89" w:rsidR="007D4CE4" w:rsidRDefault="007D4CE4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Par. 14 ust. 1</w:t>
            </w:r>
            <w:r w:rsidR="003E7DA4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4278" w:type="dxa"/>
          </w:tcPr>
          <w:p w14:paraId="5A4B96E6" w14:textId="6EA139E4" w:rsidR="007D4CE4" w:rsidRDefault="003E7DA4" w:rsidP="00987E3F">
            <w:pPr>
              <w:widowControl/>
              <w:tabs>
                <w:tab w:val="left" w:pos="426"/>
              </w:tabs>
              <w:autoSpaceDE w:val="0"/>
              <w:autoSpaceDN w:val="0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Par. 14 ust. 12</w:t>
            </w:r>
          </w:p>
        </w:tc>
        <w:tc>
          <w:tcPr>
            <w:tcW w:w="4547" w:type="dxa"/>
          </w:tcPr>
          <w:p w14:paraId="20E8CA3A" w14:textId="45C45E39" w:rsidR="007D4CE4" w:rsidRPr="005C0D34" w:rsidRDefault="003E7DA4" w:rsidP="00987E3F">
            <w:pPr>
              <w:tabs>
                <w:tab w:val="left" w:pos="3555"/>
              </w:tabs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Par. 14 </w:t>
            </w:r>
            <w:r w:rsidRPr="00FA1626">
              <w:rPr>
                <w:rFonts w:ascii="Aptos" w:hAnsi="Aptos" w:cs="Arial"/>
                <w:color w:val="FF0000"/>
                <w:sz w:val="22"/>
                <w:szCs w:val="22"/>
              </w:rPr>
              <w:t xml:space="preserve">ust. 15 </w:t>
            </w:r>
          </w:p>
        </w:tc>
        <w:tc>
          <w:tcPr>
            <w:tcW w:w="2737" w:type="dxa"/>
          </w:tcPr>
          <w:p w14:paraId="1DA2D04A" w14:textId="4959C7D7" w:rsidR="007D4CE4" w:rsidRDefault="003E7DA4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Zmiana numeracji</w:t>
            </w:r>
          </w:p>
        </w:tc>
      </w:tr>
      <w:tr w:rsidR="00987E3F" w:rsidRPr="007E1604" w14:paraId="46C957C7" w14:textId="77777777" w:rsidTr="00FA1626">
        <w:tc>
          <w:tcPr>
            <w:tcW w:w="687" w:type="dxa"/>
          </w:tcPr>
          <w:p w14:paraId="2BE571D4" w14:textId="030CC725" w:rsidR="00987E3F" w:rsidRPr="007E1604" w:rsidRDefault="007D4CE4" w:rsidP="00987E3F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1748" w:type="dxa"/>
          </w:tcPr>
          <w:p w14:paraId="1C4CA843" w14:textId="3A07C6BC" w:rsidR="00987E3F" w:rsidRPr="007E1604" w:rsidRDefault="00987E3F" w:rsidP="00987E3F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7E1604">
              <w:rPr>
                <w:rFonts w:ascii="Aptos" w:hAnsi="Aptos"/>
                <w:sz w:val="22"/>
                <w:szCs w:val="22"/>
              </w:rPr>
              <w:t>Par. 14 ust. 12</w:t>
            </w:r>
          </w:p>
        </w:tc>
        <w:tc>
          <w:tcPr>
            <w:tcW w:w="4278" w:type="dxa"/>
          </w:tcPr>
          <w:p w14:paraId="43DFC870" w14:textId="125FB596" w:rsidR="00987E3F" w:rsidRPr="007E1604" w:rsidRDefault="007D4CE4" w:rsidP="00987E3F">
            <w:pPr>
              <w:pStyle w:val="Tekstpodstawowy"/>
              <w:tabs>
                <w:tab w:val="left" w:pos="-2160"/>
                <w:tab w:val="num" w:pos="851"/>
              </w:tabs>
              <w:suppressAutoHyphens/>
              <w:spacing w:after="0"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 Brak zapisu</w:t>
            </w:r>
          </w:p>
        </w:tc>
        <w:tc>
          <w:tcPr>
            <w:tcW w:w="4547" w:type="dxa"/>
          </w:tcPr>
          <w:p w14:paraId="5527E465" w14:textId="77777777" w:rsidR="00987E3F" w:rsidRPr="007E1604" w:rsidRDefault="00987E3F" w:rsidP="00987E3F">
            <w:pPr>
              <w:widowControl/>
              <w:tabs>
                <w:tab w:val="left" w:pos="426"/>
              </w:tabs>
              <w:autoSpaceDE w:val="0"/>
              <w:autoSpaceDN w:val="0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E1604">
              <w:rPr>
                <w:rFonts w:ascii="Aptos" w:hAnsi="Aptos" w:cs="Arial"/>
                <w:sz w:val="22"/>
                <w:szCs w:val="22"/>
              </w:rPr>
              <w:t>Beneficjent zobowiązuje się do realizacji projektu zgodnie z obowiązującymi przepisami prawa w zakresie zapewniania dostępności osobom ze szczególnymi potrzebami, w szczególności w procesie udzielania i realizacji zamówień publicznych, z uwzględnieniem wymogów dostępności wynikających z:</w:t>
            </w:r>
          </w:p>
          <w:p w14:paraId="7671CBE2" w14:textId="43D0C1DD" w:rsidR="00987E3F" w:rsidRPr="007E1604" w:rsidRDefault="00987E3F" w:rsidP="00987E3F">
            <w:pPr>
              <w:pStyle w:val="Akapitzlist"/>
              <w:numPr>
                <w:ilvl w:val="0"/>
                <w:numId w:val="14"/>
              </w:numPr>
              <w:tabs>
                <w:tab w:val="left" w:pos="294"/>
              </w:tabs>
              <w:autoSpaceDE w:val="0"/>
              <w:autoSpaceDN w:val="0"/>
              <w:adjustRightInd w:val="0"/>
              <w:spacing w:line="276" w:lineRule="auto"/>
              <w:ind w:left="426" w:hanging="416"/>
              <w:jc w:val="left"/>
              <w:rPr>
                <w:rFonts w:ascii="Aptos" w:hAnsi="Aptos" w:cs="Arial"/>
              </w:rPr>
            </w:pPr>
            <w:r w:rsidRPr="007E1604">
              <w:rPr>
                <w:rFonts w:ascii="Aptos" w:hAnsi="Aptos" w:cs="Arial"/>
              </w:rPr>
              <w:t xml:space="preserve"> ustawy z dnia 19 lipca 2019 r. o</w:t>
            </w:r>
            <w:r>
              <w:rPr>
                <w:rFonts w:ascii="Aptos" w:hAnsi="Aptos" w:cs="Arial"/>
              </w:rPr>
              <w:t> </w:t>
            </w:r>
            <w:r w:rsidRPr="007E1604">
              <w:rPr>
                <w:rFonts w:ascii="Aptos" w:hAnsi="Aptos" w:cs="Arial"/>
              </w:rPr>
              <w:t>zapewnianiu dostępności osobom ze szczególnymi potrzebami (Dz. U. z 2024 r. poz. 1411),</w:t>
            </w:r>
          </w:p>
          <w:p w14:paraId="06A78B1A" w14:textId="7040B7DC" w:rsidR="00987E3F" w:rsidRPr="007E1604" w:rsidRDefault="00987E3F" w:rsidP="00987E3F">
            <w:pPr>
              <w:pStyle w:val="Akapitzlist"/>
              <w:numPr>
                <w:ilvl w:val="0"/>
                <w:numId w:val="14"/>
              </w:numPr>
              <w:tabs>
                <w:tab w:val="left" w:pos="294"/>
              </w:tabs>
              <w:autoSpaceDE w:val="0"/>
              <w:autoSpaceDN w:val="0"/>
              <w:adjustRightInd w:val="0"/>
              <w:spacing w:line="276" w:lineRule="auto"/>
              <w:ind w:left="426" w:hanging="416"/>
              <w:jc w:val="left"/>
              <w:rPr>
                <w:rFonts w:ascii="Aptos" w:hAnsi="Aptos" w:cs="Arial"/>
              </w:rPr>
            </w:pPr>
            <w:r w:rsidRPr="007E1604">
              <w:rPr>
                <w:rFonts w:ascii="Aptos" w:hAnsi="Aptos" w:cs="Arial"/>
              </w:rPr>
              <w:t xml:space="preserve"> ustawy z dnia 26 kwietnia 2024 r. o</w:t>
            </w:r>
            <w:r>
              <w:rPr>
                <w:rFonts w:ascii="Aptos" w:hAnsi="Aptos" w:cs="Arial"/>
              </w:rPr>
              <w:t> </w:t>
            </w:r>
            <w:r w:rsidRPr="007E1604">
              <w:rPr>
                <w:rFonts w:ascii="Aptos" w:hAnsi="Aptos" w:cs="Arial"/>
              </w:rPr>
              <w:t>zapewnianiu spełniania wymagań dostępności niektórych produktów i</w:t>
            </w:r>
            <w:r>
              <w:rPr>
                <w:rFonts w:ascii="Aptos" w:hAnsi="Aptos" w:cs="Arial"/>
              </w:rPr>
              <w:t> </w:t>
            </w:r>
            <w:r w:rsidRPr="007E1604">
              <w:rPr>
                <w:rFonts w:ascii="Aptos" w:hAnsi="Aptos" w:cs="Arial"/>
              </w:rPr>
              <w:t>usług przez podmioty gospodarcze (Dz. U. z 2024 r. poz. 731),</w:t>
            </w:r>
          </w:p>
          <w:p w14:paraId="64900A6F" w14:textId="3D49495C" w:rsidR="00987E3F" w:rsidRPr="007E1604" w:rsidRDefault="00987E3F" w:rsidP="00987E3F">
            <w:pPr>
              <w:pStyle w:val="Akapitzlist"/>
              <w:numPr>
                <w:ilvl w:val="0"/>
                <w:numId w:val="14"/>
              </w:numPr>
              <w:tabs>
                <w:tab w:val="left" w:pos="294"/>
              </w:tabs>
              <w:autoSpaceDE w:val="0"/>
              <w:autoSpaceDN w:val="0"/>
              <w:adjustRightInd w:val="0"/>
              <w:spacing w:line="276" w:lineRule="auto"/>
              <w:ind w:left="426" w:hanging="416"/>
              <w:jc w:val="left"/>
              <w:rPr>
                <w:rFonts w:ascii="Aptos" w:hAnsi="Aptos" w:cs="Arial"/>
              </w:rPr>
            </w:pPr>
            <w:r w:rsidRPr="007E1604">
              <w:rPr>
                <w:rFonts w:ascii="Aptos" w:hAnsi="Aptos" w:cs="Arial"/>
              </w:rPr>
              <w:t xml:space="preserve"> ustawy z dnia 11 września 2019 r. – Prawo zamówień publicznych (Dz. U. z</w:t>
            </w:r>
            <w:r>
              <w:rPr>
                <w:rFonts w:ascii="Aptos" w:hAnsi="Aptos" w:cs="Arial"/>
              </w:rPr>
              <w:t> </w:t>
            </w:r>
            <w:r w:rsidRPr="007E1604">
              <w:rPr>
                <w:rFonts w:ascii="Aptos" w:hAnsi="Aptos" w:cs="Arial"/>
              </w:rPr>
              <w:t xml:space="preserve">2024 r. poz. 1320 z późn. zm.), </w:t>
            </w:r>
          </w:p>
          <w:p w14:paraId="7B195011" w14:textId="5B317BE9" w:rsidR="00987E3F" w:rsidRPr="007E1604" w:rsidRDefault="00987E3F" w:rsidP="00987E3F">
            <w:pPr>
              <w:pStyle w:val="Akapitzlist"/>
              <w:numPr>
                <w:ilvl w:val="0"/>
                <w:numId w:val="14"/>
              </w:numPr>
              <w:tabs>
                <w:tab w:val="left" w:pos="294"/>
              </w:tabs>
              <w:autoSpaceDE w:val="0"/>
              <w:autoSpaceDN w:val="0"/>
              <w:adjustRightInd w:val="0"/>
              <w:spacing w:line="276" w:lineRule="auto"/>
              <w:ind w:left="426" w:hanging="416"/>
              <w:jc w:val="left"/>
              <w:rPr>
                <w:rFonts w:ascii="Aptos" w:hAnsi="Aptos" w:cs="Arial"/>
              </w:rPr>
            </w:pPr>
            <w:r w:rsidRPr="007E1604">
              <w:rPr>
                <w:rFonts w:ascii="Aptos" w:hAnsi="Aptos" w:cs="Arial"/>
              </w:rPr>
              <w:t xml:space="preserve"> załącznika nr 2 Standardy dostępności dla polityki spójności 2021–-2027 do</w:t>
            </w:r>
            <w:r w:rsidR="00FC5E95">
              <w:rPr>
                <w:rFonts w:ascii="Aptos" w:hAnsi="Aptos" w:cs="Arial"/>
              </w:rPr>
              <w:t> </w:t>
            </w:r>
            <w:r w:rsidRPr="007E1604">
              <w:rPr>
                <w:rFonts w:ascii="Aptos" w:hAnsi="Aptos" w:cs="Arial"/>
              </w:rPr>
              <w:t>Wytycznych dotyczących realizacji zasad równościowych w</w:t>
            </w:r>
            <w:r>
              <w:rPr>
                <w:rFonts w:ascii="Aptos" w:hAnsi="Aptos" w:cs="Arial"/>
              </w:rPr>
              <w:t> </w:t>
            </w:r>
            <w:r w:rsidRPr="007E1604">
              <w:rPr>
                <w:rFonts w:ascii="Aptos" w:hAnsi="Aptos" w:cs="Arial"/>
              </w:rPr>
              <w:t>ramach funduszy unijnych na lata 2021-2027</w:t>
            </w:r>
          </w:p>
        </w:tc>
        <w:tc>
          <w:tcPr>
            <w:tcW w:w="2737" w:type="dxa"/>
          </w:tcPr>
          <w:p w14:paraId="750CD166" w14:textId="6C75362D" w:rsidR="00987E3F" w:rsidRDefault="00987E3F" w:rsidP="00987E3F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7E1604">
              <w:rPr>
                <w:rFonts w:ascii="Aptos" w:hAnsi="Aptos"/>
                <w:sz w:val="22"/>
                <w:szCs w:val="22"/>
              </w:rPr>
              <w:t>Zgodnie z pismem MFiPR znak DZF-XIII.6461.64.2025.DW z 26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E1604">
              <w:rPr>
                <w:rFonts w:ascii="Aptos" w:hAnsi="Aptos"/>
                <w:sz w:val="22"/>
                <w:szCs w:val="22"/>
              </w:rPr>
              <w:t>września 2025 r. oraz pismem znak RF-EFS.430.28.2025.ML z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E1604">
              <w:rPr>
                <w:rFonts w:ascii="Aptos" w:hAnsi="Aptos"/>
                <w:sz w:val="22"/>
                <w:szCs w:val="22"/>
              </w:rPr>
              <w:t>7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E1604">
              <w:rPr>
                <w:rFonts w:ascii="Aptos" w:hAnsi="Aptos"/>
                <w:sz w:val="22"/>
                <w:szCs w:val="22"/>
              </w:rPr>
              <w:t>października 2025 r.</w:t>
            </w:r>
          </w:p>
          <w:p w14:paraId="1521A526" w14:textId="42DB3B45" w:rsidR="000027CE" w:rsidRPr="007E1604" w:rsidRDefault="000027CE" w:rsidP="00987E3F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w sprawie dostępności zamówień publicznych dla osób ze szczególnymi potrzebami.</w:t>
            </w:r>
          </w:p>
        </w:tc>
      </w:tr>
      <w:tr w:rsidR="00987E3F" w:rsidRPr="00743C17" w14:paraId="6472F325" w14:textId="77777777" w:rsidTr="00FA1626">
        <w:trPr>
          <w:trHeight w:val="977"/>
        </w:trPr>
        <w:tc>
          <w:tcPr>
            <w:tcW w:w="687" w:type="dxa"/>
          </w:tcPr>
          <w:p w14:paraId="6DA5AF29" w14:textId="522AFDB8" w:rsidR="00987E3F" w:rsidRPr="00743C17" w:rsidRDefault="007D4CE4" w:rsidP="00987E3F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lastRenderedPageBreak/>
              <w:t>6</w:t>
            </w:r>
          </w:p>
        </w:tc>
        <w:tc>
          <w:tcPr>
            <w:tcW w:w="1748" w:type="dxa"/>
          </w:tcPr>
          <w:p w14:paraId="083DB614" w14:textId="7D3E795B" w:rsidR="00987E3F" w:rsidRPr="00743C17" w:rsidRDefault="00987E3F" w:rsidP="00987E3F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743C17">
              <w:rPr>
                <w:rFonts w:ascii="Aptos" w:hAnsi="Aptos"/>
                <w:sz w:val="22"/>
                <w:szCs w:val="22"/>
              </w:rPr>
              <w:t>Par. 14 ust.13</w:t>
            </w:r>
          </w:p>
        </w:tc>
        <w:tc>
          <w:tcPr>
            <w:tcW w:w="4278" w:type="dxa"/>
          </w:tcPr>
          <w:p w14:paraId="427ECC3F" w14:textId="0429F5E3" w:rsidR="00987E3F" w:rsidRPr="00743C17" w:rsidRDefault="00987E3F" w:rsidP="00987E3F">
            <w:pPr>
              <w:tabs>
                <w:tab w:val="left" w:pos="426"/>
              </w:tabs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E1604">
              <w:rPr>
                <w:rFonts w:ascii="Aptos" w:hAnsi="Aptos" w:cs="Arial"/>
                <w:sz w:val="22"/>
                <w:szCs w:val="22"/>
              </w:rPr>
              <w:t>Brak zapisu</w:t>
            </w:r>
          </w:p>
        </w:tc>
        <w:tc>
          <w:tcPr>
            <w:tcW w:w="4547" w:type="dxa"/>
          </w:tcPr>
          <w:p w14:paraId="25DBE305" w14:textId="2A792F9F" w:rsidR="00987E3F" w:rsidRPr="00743C17" w:rsidRDefault="00987E3F" w:rsidP="00987E3F">
            <w:pPr>
              <w:spacing w:after="160" w:line="259" w:lineRule="auto"/>
              <w:contextualSpacing/>
              <w:jc w:val="left"/>
              <w:rPr>
                <w:rFonts w:ascii="Aptos" w:hAnsi="Aptos"/>
                <w:sz w:val="22"/>
                <w:szCs w:val="22"/>
              </w:rPr>
            </w:pPr>
            <w:r w:rsidRPr="00743C17">
              <w:rPr>
                <w:rFonts w:ascii="Aptos" w:hAnsi="Aptos"/>
                <w:sz w:val="22"/>
                <w:szCs w:val="22"/>
              </w:rPr>
              <w:t>Beneficjent zobowiązuje się do realizacji  projektu w taki sposób, aby przy realizacji nie zostały wykluczone z uczestnictwa w nim osoby ze szczególnymi potrzebami oraz oświadcza, że znany jest mu fakt, że wykonanie przedmiotu umowy związane z</w:t>
            </w:r>
            <w:r w:rsidR="00112B4A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zapewnieniem dostępności wynika z art. 4 ust. 3 i ust. 4 oraz art. 5 ust. 1 i ust 2 ustawy z</w:t>
            </w:r>
            <w:r w:rsidR="00112B4A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dnia 19 lipca 2019 r. o zapewnieniu dostępności osobom ze szczególnymi potrzebami (</w:t>
            </w:r>
            <w:r w:rsidR="00B46C93">
              <w:rPr>
                <w:rFonts w:ascii="Aptos" w:hAnsi="Aptos"/>
                <w:sz w:val="22"/>
                <w:szCs w:val="22"/>
              </w:rPr>
              <w:t>D</w:t>
            </w:r>
            <w:r w:rsidRPr="00743C17">
              <w:rPr>
                <w:rFonts w:ascii="Aptos" w:hAnsi="Aptos"/>
                <w:sz w:val="22"/>
                <w:szCs w:val="22"/>
              </w:rPr>
              <w:t>z. U. z 2024 r. poz. 1411), zwanej dalej ustawą. Zgodnie z art. 7 ust. 1 ustawy, jeżeli Wykonawca nie jest w stanie, w</w:t>
            </w:r>
            <w:r w:rsidR="00112B4A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szczególności ze względów technicznych, prawnych, zapewnić dostępności osobie ze szczególnymi potrzebami w zakresie, o</w:t>
            </w:r>
            <w:r w:rsidR="00112B4A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którym mowa w art. 6 pkt. 3 ustawy (minimalne wymagania w zakresie dostępności informacyjno-komunikacyjnej), Wykonawca zobowiązany jest zapewnić takiej osobie dostęp alternatywny. Dostęp alternatywny polega w szczególności na:</w:t>
            </w:r>
          </w:p>
          <w:p w14:paraId="7FA10018" w14:textId="40255919" w:rsidR="00987E3F" w:rsidRPr="00743C17" w:rsidRDefault="00B46C93" w:rsidP="00987E3F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ind w:left="436" w:hanging="284"/>
              <w:contextualSpacing/>
              <w:jc w:val="left"/>
              <w:rPr>
                <w:rFonts w:ascii="Aptos" w:hAnsi="Aptos"/>
              </w:rPr>
            </w:pPr>
            <w:r>
              <w:rPr>
                <w:rFonts w:ascii="Aptos" w:hAnsi="Aptos"/>
              </w:rPr>
              <w:t>z</w:t>
            </w:r>
            <w:r w:rsidR="00987E3F" w:rsidRPr="00743C17">
              <w:rPr>
                <w:rFonts w:ascii="Aptos" w:hAnsi="Aptos"/>
              </w:rPr>
              <w:t>apewnieniu osobie ze szczególnymi potrzebami wsparcia innej osoby lub</w:t>
            </w:r>
          </w:p>
          <w:p w14:paraId="5E8D8B48" w14:textId="3B9901E2" w:rsidR="00987E3F" w:rsidRPr="00743C17" w:rsidRDefault="00B46C93" w:rsidP="00987E3F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ind w:left="436" w:hanging="284"/>
              <w:contextualSpacing/>
              <w:jc w:val="left"/>
              <w:rPr>
                <w:rFonts w:ascii="Aptos" w:hAnsi="Aptos"/>
              </w:rPr>
            </w:pPr>
            <w:r>
              <w:rPr>
                <w:rFonts w:ascii="Aptos" w:hAnsi="Aptos"/>
              </w:rPr>
              <w:t>z</w:t>
            </w:r>
            <w:r w:rsidR="00987E3F" w:rsidRPr="00743C17">
              <w:rPr>
                <w:rFonts w:ascii="Aptos" w:hAnsi="Aptos"/>
              </w:rPr>
              <w:t>apewnieniu wsparcia technicznego osobie ze szczególnymi potrzebami, w</w:t>
            </w:r>
            <w:r>
              <w:rPr>
                <w:rFonts w:ascii="Aptos" w:hAnsi="Aptos"/>
              </w:rPr>
              <w:t> </w:t>
            </w:r>
            <w:r w:rsidR="00987E3F" w:rsidRPr="00743C17">
              <w:rPr>
                <w:rFonts w:ascii="Aptos" w:hAnsi="Aptos"/>
              </w:rPr>
              <w:t>tym wykorzystaniu nowoczesnych technologii lub</w:t>
            </w:r>
          </w:p>
          <w:p w14:paraId="156E6275" w14:textId="6B126922" w:rsidR="00987E3F" w:rsidRPr="00743C17" w:rsidRDefault="00B46C93" w:rsidP="00987E3F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ind w:left="436" w:hanging="284"/>
              <w:contextualSpacing/>
              <w:jc w:val="left"/>
              <w:rPr>
                <w:rFonts w:ascii="Aptos" w:hAnsi="Aptos"/>
              </w:rPr>
            </w:pPr>
            <w:r>
              <w:rPr>
                <w:rFonts w:ascii="Aptos" w:hAnsi="Aptos"/>
              </w:rPr>
              <w:t>w</w:t>
            </w:r>
            <w:r w:rsidR="00987E3F" w:rsidRPr="00743C17">
              <w:rPr>
                <w:rFonts w:ascii="Aptos" w:hAnsi="Aptos"/>
              </w:rPr>
              <w:t>prowadzeniu takiej organizacji przedmiotu zamówienia, która umożliwi realizacji potrzeb osób ze szczególnymi potrzebami, w niezbędnym zakresie tych osób.</w:t>
            </w:r>
          </w:p>
        </w:tc>
        <w:tc>
          <w:tcPr>
            <w:tcW w:w="2737" w:type="dxa"/>
          </w:tcPr>
          <w:p w14:paraId="0B9A5EA3" w14:textId="5A368CA1" w:rsidR="00987E3F" w:rsidRDefault="00987E3F" w:rsidP="00987E3F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743C17">
              <w:rPr>
                <w:rFonts w:ascii="Aptos" w:hAnsi="Aptos"/>
                <w:sz w:val="22"/>
                <w:szCs w:val="22"/>
              </w:rPr>
              <w:t>Zgodnie z pismem MFiPR znak DZF-XIII.6461.64.2025.DW z 26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września 2025 r. oraz pismem znak RF-EFS.430.28.2025.ML z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7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października 2025 r.</w:t>
            </w:r>
          </w:p>
          <w:p w14:paraId="46C3E69D" w14:textId="3C2D4B7D" w:rsidR="000027CE" w:rsidRPr="00743C17" w:rsidRDefault="000027CE" w:rsidP="00987E3F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w sprawie dostępności zamówień publicznych dla osób ze szczególnymi potrzebami.</w:t>
            </w:r>
          </w:p>
        </w:tc>
      </w:tr>
      <w:tr w:rsidR="00987E3F" w:rsidRPr="00AB19DB" w14:paraId="1C623402" w14:textId="77777777" w:rsidTr="00FA1626">
        <w:tc>
          <w:tcPr>
            <w:tcW w:w="687" w:type="dxa"/>
          </w:tcPr>
          <w:p w14:paraId="4DB814CA" w14:textId="7E5C15BD" w:rsidR="00987E3F" w:rsidRPr="00AB19DB" w:rsidRDefault="007D4CE4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1748" w:type="dxa"/>
          </w:tcPr>
          <w:p w14:paraId="2A0275A8" w14:textId="56AFBA0B" w:rsidR="00987E3F" w:rsidRPr="00AB19DB" w:rsidRDefault="00987E3F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AB19DB">
              <w:rPr>
                <w:rFonts w:ascii="Aptos" w:hAnsi="Aptos"/>
                <w:sz w:val="22"/>
                <w:szCs w:val="22"/>
              </w:rPr>
              <w:t>Par. 14 ust. 14</w:t>
            </w:r>
          </w:p>
        </w:tc>
        <w:tc>
          <w:tcPr>
            <w:tcW w:w="4278" w:type="dxa"/>
          </w:tcPr>
          <w:p w14:paraId="3B687391" w14:textId="28189095" w:rsidR="00987E3F" w:rsidRPr="00AB19DB" w:rsidRDefault="00987E3F" w:rsidP="00987E3F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  <w:r w:rsidRPr="00AB19DB">
              <w:rPr>
                <w:rFonts w:ascii="Aptos" w:hAnsi="Aptos" w:cs="Arial"/>
                <w:sz w:val="22"/>
                <w:szCs w:val="22"/>
              </w:rPr>
              <w:t>Brak zapisu</w:t>
            </w:r>
          </w:p>
        </w:tc>
        <w:tc>
          <w:tcPr>
            <w:tcW w:w="4547" w:type="dxa"/>
          </w:tcPr>
          <w:p w14:paraId="31264ABB" w14:textId="315BF8C7" w:rsidR="00987E3F" w:rsidRPr="00AB19DB" w:rsidRDefault="00987E3F" w:rsidP="00987E3F">
            <w:pPr>
              <w:spacing w:after="160" w:line="259" w:lineRule="auto"/>
              <w:contextualSpacing/>
              <w:jc w:val="left"/>
              <w:rPr>
                <w:rFonts w:ascii="Aptos" w:hAnsi="Aptos"/>
                <w:sz w:val="22"/>
                <w:szCs w:val="22"/>
              </w:rPr>
            </w:pPr>
            <w:r w:rsidRPr="00AB19DB">
              <w:rPr>
                <w:rFonts w:ascii="Aptos" w:hAnsi="Aptos"/>
                <w:sz w:val="22"/>
                <w:szCs w:val="22"/>
              </w:rPr>
              <w:t>Określenie wymogów dotyczących dostępności, wynikających z przepisów, o</w:t>
            </w:r>
            <w:r w:rsidR="00A53CA9">
              <w:rPr>
                <w:rFonts w:ascii="Aptos" w:hAnsi="Aptos"/>
                <w:sz w:val="22"/>
                <w:szCs w:val="22"/>
              </w:rPr>
              <w:t> </w:t>
            </w:r>
            <w:r w:rsidRPr="00AB19DB">
              <w:rPr>
                <w:rFonts w:ascii="Aptos" w:hAnsi="Aptos"/>
                <w:sz w:val="22"/>
                <w:szCs w:val="22"/>
              </w:rPr>
              <w:t>których mowa w ust. 12 i 13, powinno znaleźć odzwierciedlenie zarówno w</w:t>
            </w:r>
            <w:r w:rsidR="00A53CA9">
              <w:rPr>
                <w:rFonts w:ascii="Aptos" w:hAnsi="Aptos"/>
                <w:sz w:val="22"/>
                <w:szCs w:val="22"/>
              </w:rPr>
              <w:t> </w:t>
            </w:r>
            <w:r w:rsidRPr="00AB19DB">
              <w:rPr>
                <w:rFonts w:ascii="Aptos" w:hAnsi="Aptos"/>
                <w:sz w:val="22"/>
                <w:szCs w:val="22"/>
              </w:rPr>
              <w:t>dokumentacji prowadzącej do wyłonienia wykonawcy, jak i w treści zawieranych z nim umów, w zakresie adekwatnym do charakteru przedmiotu zamówienia.</w:t>
            </w:r>
          </w:p>
        </w:tc>
        <w:tc>
          <w:tcPr>
            <w:tcW w:w="2737" w:type="dxa"/>
          </w:tcPr>
          <w:p w14:paraId="473B33D9" w14:textId="78E0B444" w:rsidR="00987E3F" w:rsidRDefault="00987E3F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743C17">
              <w:rPr>
                <w:rFonts w:ascii="Aptos" w:hAnsi="Aptos"/>
                <w:sz w:val="22"/>
                <w:szCs w:val="22"/>
              </w:rPr>
              <w:t>Zgodnie z pismem MFiPR znak DZF-XIII.6461.64.2025.DW z 26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września 2025 r. oraz pismem znak RF-EFS.430.28.2025.ML z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7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października 2025 r.</w:t>
            </w:r>
          </w:p>
          <w:p w14:paraId="250DC599" w14:textId="4540F209" w:rsidR="000027CE" w:rsidRPr="00AB19DB" w:rsidRDefault="000027CE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w sprawie dostępności zamówień publicznych dla osób ze szczególnymi potrzebami.</w:t>
            </w:r>
          </w:p>
        </w:tc>
      </w:tr>
      <w:tr w:rsidR="00F57EC1" w:rsidRPr="00FD484D" w14:paraId="59A5BF6A" w14:textId="77777777" w:rsidTr="00FA1626">
        <w:tc>
          <w:tcPr>
            <w:tcW w:w="687" w:type="dxa"/>
          </w:tcPr>
          <w:p w14:paraId="6530D98C" w14:textId="79DF235F" w:rsidR="00F57EC1" w:rsidRDefault="007D4CE4" w:rsidP="00F57EC1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8</w:t>
            </w:r>
          </w:p>
        </w:tc>
        <w:tc>
          <w:tcPr>
            <w:tcW w:w="1748" w:type="dxa"/>
          </w:tcPr>
          <w:p w14:paraId="1E16BE88" w14:textId="4A53B12B" w:rsidR="00F57EC1" w:rsidRDefault="00F57EC1" w:rsidP="00F57EC1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Par. 15 ust. 2 pkt 1</w:t>
            </w:r>
          </w:p>
        </w:tc>
        <w:tc>
          <w:tcPr>
            <w:tcW w:w="4278" w:type="dxa"/>
          </w:tcPr>
          <w:p w14:paraId="699825BF" w14:textId="53CF6A18" w:rsidR="00F57EC1" w:rsidRPr="0065216E" w:rsidRDefault="00F57EC1" w:rsidP="00F57EC1">
            <w:pPr>
              <w:widowControl/>
              <w:tabs>
                <w:tab w:val="left" w:pos="709"/>
              </w:tabs>
              <w:adjustRightInd/>
              <w:spacing w:line="240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65216E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umieszczania w widoczny sposób znaku </w:t>
            </w:r>
            <w:r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Funduszu Europejskiego dla Mazowsza, barw RP i Unii Europejskiej oraz logotypu promocyjnego województwa Mazowieckiego </w:t>
            </w:r>
            <w:bookmarkStart w:id="2" w:name="_Hlk212804161"/>
            <w:r>
              <w:rPr>
                <w:rFonts w:ascii="Aptos" w:eastAsia="Calibri" w:hAnsi="Aptos" w:cs="Arial"/>
                <w:sz w:val="22"/>
                <w:szCs w:val="22"/>
                <w:lang w:eastAsia="en-US"/>
              </w:rPr>
              <w:t>w wersji pełnokolorowej</w:t>
            </w:r>
            <w:bookmarkEnd w:id="2"/>
          </w:p>
        </w:tc>
        <w:tc>
          <w:tcPr>
            <w:tcW w:w="4547" w:type="dxa"/>
          </w:tcPr>
          <w:p w14:paraId="0CECEF06" w14:textId="6EF4D2C2" w:rsidR="00F57EC1" w:rsidRPr="0065216E" w:rsidRDefault="00F57EC1" w:rsidP="00F57EC1">
            <w:pPr>
              <w:widowControl/>
              <w:tabs>
                <w:tab w:val="left" w:pos="709"/>
              </w:tabs>
              <w:adjustRightInd/>
              <w:spacing w:line="240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u</w:t>
            </w:r>
            <w:r w:rsidRPr="00015AD0">
              <w:rPr>
                <w:rFonts w:ascii="Aptos" w:hAnsi="Aptos" w:cs="Arial"/>
                <w:sz w:val="22"/>
                <w:szCs w:val="22"/>
              </w:rPr>
              <w:t>mieszcz</w:t>
            </w:r>
            <w:r>
              <w:rPr>
                <w:rFonts w:ascii="Aptos" w:hAnsi="Aptos" w:cs="Arial"/>
                <w:sz w:val="22"/>
                <w:szCs w:val="22"/>
              </w:rPr>
              <w:t>a</w:t>
            </w:r>
            <w:r w:rsidRPr="00015AD0">
              <w:rPr>
                <w:rFonts w:ascii="Aptos" w:hAnsi="Aptos" w:cs="Arial"/>
                <w:sz w:val="22"/>
                <w:szCs w:val="22"/>
              </w:rPr>
              <w:t>ni</w:t>
            </w:r>
            <w:r>
              <w:rPr>
                <w:rFonts w:ascii="Aptos" w:hAnsi="Aptos" w:cs="Arial"/>
                <w:sz w:val="22"/>
                <w:szCs w:val="22"/>
              </w:rPr>
              <w:t>a</w:t>
            </w:r>
            <w:r w:rsidRPr="00015AD0">
              <w:rPr>
                <w:rFonts w:ascii="Aptos" w:hAnsi="Aptos" w:cs="Arial"/>
                <w:sz w:val="22"/>
                <w:szCs w:val="22"/>
              </w:rPr>
              <w:t xml:space="preserve"> w widoczny sposób znaków: „Fundusze Europejskie dla Mazowsza”, barw RP i </w:t>
            </w:r>
            <w:r>
              <w:rPr>
                <w:rFonts w:ascii="Aptos" w:hAnsi="Aptos" w:cs="Arial"/>
                <w:sz w:val="22"/>
                <w:szCs w:val="22"/>
              </w:rPr>
              <w:t> </w:t>
            </w:r>
            <w:r w:rsidRPr="00F57EC1">
              <w:rPr>
                <w:rFonts w:ascii="Aptos" w:hAnsi="Aptos" w:cs="Arial"/>
                <w:color w:val="FF0000"/>
                <w:sz w:val="22"/>
                <w:szCs w:val="22"/>
              </w:rPr>
              <w:t xml:space="preserve">nazwy „Rzeczpospolita Polska”, </w:t>
            </w:r>
            <w:r w:rsidRPr="00015AD0">
              <w:rPr>
                <w:rFonts w:ascii="Aptos" w:hAnsi="Aptos" w:cs="Arial"/>
                <w:sz w:val="22"/>
                <w:szCs w:val="22"/>
              </w:rPr>
              <w:t xml:space="preserve">Unii Europejskiej </w:t>
            </w:r>
            <w:r w:rsidRPr="00F57EC1">
              <w:rPr>
                <w:rFonts w:ascii="Aptos" w:hAnsi="Aptos" w:cs="Arial"/>
                <w:color w:val="FF0000"/>
                <w:sz w:val="22"/>
                <w:szCs w:val="22"/>
              </w:rPr>
              <w:t xml:space="preserve">wraz z napisem „Dofinansowane przez Unię Europejską” </w:t>
            </w:r>
            <w:r w:rsidRPr="00015AD0">
              <w:rPr>
                <w:rFonts w:ascii="Aptos" w:hAnsi="Aptos" w:cs="Arial"/>
                <w:sz w:val="22"/>
                <w:szCs w:val="22"/>
              </w:rPr>
              <w:t>oraz logotypu promocyjnego województwa mazowieckiego</w:t>
            </w:r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  <w:r>
              <w:rPr>
                <w:rFonts w:ascii="Aptos" w:eastAsia="Calibri" w:hAnsi="Aptos" w:cs="Arial"/>
                <w:sz w:val="22"/>
                <w:szCs w:val="22"/>
                <w:lang w:eastAsia="en-US"/>
              </w:rPr>
              <w:t>w wersji pełnokolorowej</w:t>
            </w:r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  <w:tc>
          <w:tcPr>
            <w:tcW w:w="2737" w:type="dxa"/>
          </w:tcPr>
          <w:p w14:paraId="789A7C76" w14:textId="756DB62B" w:rsidR="00F57EC1" w:rsidRDefault="00F57EC1" w:rsidP="00F57EC1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B56BE4">
              <w:rPr>
                <w:rFonts w:ascii="Aptos" w:hAnsi="Aptos"/>
                <w:sz w:val="22"/>
                <w:szCs w:val="22"/>
              </w:rPr>
              <w:t>Zmiana w związku z aktualizacją Podręcznika wnioskodawcy i beneficjenta Funduszy Europejskich na lata 2021-2027 w zakresie informacji i promocji z dnia 24 marca 2025 r</w:t>
            </w:r>
            <w:r>
              <w:rPr>
                <w:rFonts w:ascii="Aptos" w:hAnsi="Aptos"/>
                <w:sz w:val="22"/>
                <w:szCs w:val="22"/>
              </w:rPr>
              <w:t>.</w:t>
            </w:r>
          </w:p>
        </w:tc>
      </w:tr>
      <w:tr w:rsidR="00987E3F" w:rsidRPr="00FD484D" w14:paraId="2F8867CE" w14:textId="77777777" w:rsidTr="00FA1626">
        <w:tc>
          <w:tcPr>
            <w:tcW w:w="687" w:type="dxa"/>
          </w:tcPr>
          <w:p w14:paraId="64A57E04" w14:textId="005CEDA6" w:rsidR="00987E3F" w:rsidRDefault="007D4CE4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9</w:t>
            </w:r>
          </w:p>
        </w:tc>
        <w:tc>
          <w:tcPr>
            <w:tcW w:w="1748" w:type="dxa"/>
          </w:tcPr>
          <w:p w14:paraId="3BE0523E" w14:textId="0815AFC8" w:rsidR="00987E3F" w:rsidRDefault="00987E3F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Par. 24 ust. </w:t>
            </w:r>
            <w:r w:rsidR="005D63C1">
              <w:rPr>
                <w:rFonts w:ascii="Aptos" w:hAnsi="Aptos"/>
                <w:sz w:val="22"/>
                <w:szCs w:val="22"/>
              </w:rPr>
              <w:t>1 pkt 4</w:t>
            </w:r>
          </w:p>
        </w:tc>
        <w:tc>
          <w:tcPr>
            <w:tcW w:w="4278" w:type="dxa"/>
          </w:tcPr>
          <w:p w14:paraId="27BFF8DB" w14:textId="636434D6" w:rsidR="00987E3F" w:rsidRPr="00D2488D" w:rsidRDefault="00987E3F" w:rsidP="00987E3F">
            <w:pPr>
              <w:widowControl/>
              <w:tabs>
                <w:tab w:val="left" w:pos="709"/>
              </w:tabs>
              <w:adjustRightInd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65216E">
              <w:rPr>
                <w:rFonts w:ascii="Aptos" w:hAnsi="Aptos" w:cs="Arial"/>
                <w:sz w:val="22"/>
                <w:szCs w:val="22"/>
              </w:rPr>
              <w:t>ustawy z dnia 23 kwietnia 1964 r. - Kodeks cywilny (Dz. U. z 202</w:t>
            </w:r>
            <w:r>
              <w:rPr>
                <w:rFonts w:ascii="Aptos" w:hAnsi="Aptos" w:cs="Arial"/>
                <w:sz w:val="22"/>
                <w:szCs w:val="22"/>
              </w:rPr>
              <w:t xml:space="preserve">5 </w:t>
            </w:r>
            <w:r w:rsidRPr="0065216E">
              <w:rPr>
                <w:rFonts w:ascii="Aptos" w:hAnsi="Aptos" w:cs="Arial"/>
                <w:sz w:val="22"/>
                <w:szCs w:val="22"/>
              </w:rPr>
              <w:t xml:space="preserve">r. poz. </w:t>
            </w:r>
            <w:r>
              <w:rPr>
                <w:rFonts w:ascii="Aptos" w:hAnsi="Aptos" w:cs="Arial"/>
                <w:sz w:val="22"/>
                <w:szCs w:val="22"/>
              </w:rPr>
              <w:t>1071</w:t>
            </w:r>
            <w:r w:rsidRPr="0065216E">
              <w:rPr>
                <w:rFonts w:ascii="Aptos" w:hAnsi="Aptos" w:cs="Arial"/>
                <w:sz w:val="22"/>
                <w:szCs w:val="22"/>
              </w:rPr>
              <w:t>);</w:t>
            </w:r>
          </w:p>
        </w:tc>
        <w:tc>
          <w:tcPr>
            <w:tcW w:w="4547" w:type="dxa"/>
          </w:tcPr>
          <w:p w14:paraId="0ABAA55B" w14:textId="2A3F3A64" w:rsidR="00987E3F" w:rsidRPr="00D2488D" w:rsidRDefault="00987E3F" w:rsidP="00987E3F">
            <w:pPr>
              <w:widowControl/>
              <w:tabs>
                <w:tab w:val="left" w:pos="709"/>
              </w:tabs>
              <w:adjustRightInd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65216E">
              <w:rPr>
                <w:rFonts w:ascii="Aptos" w:hAnsi="Aptos" w:cs="Arial"/>
                <w:sz w:val="22"/>
                <w:szCs w:val="22"/>
              </w:rPr>
              <w:t>ustawy z dnia 23 kwietnia 1964 r. - Kodeks cywilny (Dz. U. z 202</w:t>
            </w:r>
            <w:r>
              <w:rPr>
                <w:rFonts w:ascii="Aptos" w:hAnsi="Aptos" w:cs="Arial"/>
                <w:sz w:val="22"/>
                <w:szCs w:val="22"/>
              </w:rPr>
              <w:t xml:space="preserve">5 </w:t>
            </w:r>
            <w:r w:rsidRPr="0065216E">
              <w:rPr>
                <w:rFonts w:ascii="Aptos" w:hAnsi="Aptos" w:cs="Arial"/>
                <w:sz w:val="22"/>
                <w:szCs w:val="22"/>
              </w:rPr>
              <w:t xml:space="preserve">r. poz. </w:t>
            </w:r>
            <w:r>
              <w:rPr>
                <w:rFonts w:ascii="Aptos" w:hAnsi="Aptos" w:cs="Arial"/>
                <w:sz w:val="22"/>
                <w:szCs w:val="22"/>
              </w:rPr>
              <w:t xml:space="preserve">1071 i </w:t>
            </w:r>
            <w:r w:rsidRPr="00D2488D">
              <w:rPr>
                <w:rFonts w:ascii="Aptos" w:hAnsi="Aptos" w:cs="Arial"/>
                <w:color w:val="FF0000"/>
                <w:sz w:val="22"/>
                <w:szCs w:val="22"/>
              </w:rPr>
              <w:t>1172</w:t>
            </w:r>
            <w:r w:rsidRPr="0065216E">
              <w:rPr>
                <w:rFonts w:ascii="Aptos" w:hAnsi="Aptos" w:cs="Arial"/>
                <w:sz w:val="22"/>
                <w:szCs w:val="22"/>
              </w:rPr>
              <w:t>);</w:t>
            </w:r>
          </w:p>
        </w:tc>
        <w:tc>
          <w:tcPr>
            <w:tcW w:w="2737" w:type="dxa"/>
          </w:tcPr>
          <w:p w14:paraId="35664596" w14:textId="44D927DD" w:rsidR="00987E3F" w:rsidRDefault="00987E3F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Aktualizacja aktów prawnych</w:t>
            </w:r>
          </w:p>
        </w:tc>
      </w:tr>
      <w:tr w:rsidR="00987E3F" w:rsidRPr="00FD484D" w14:paraId="5F2124EC" w14:textId="77777777" w:rsidTr="00FA1626">
        <w:tc>
          <w:tcPr>
            <w:tcW w:w="687" w:type="dxa"/>
          </w:tcPr>
          <w:p w14:paraId="28E6B1AD" w14:textId="43054128" w:rsidR="00987E3F" w:rsidRPr="00FD484D" w:rsidRDefault="007D4CE4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10</w:t>
            </w:r>
          </w:p>
        </w:tc>
        <w:tc>
          <w:tcPr>
            <w:tcW w:w="1748" w:type="dxa"/>
          </w:tcPr>
          <w:p w14:paraId="353B0E85" w14:textId="04219E02" w:rsidR="00987E3F" w:rsidRPr="00FD484D" w:rsidRDefault="00987E3F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Par. 24 ust. </w:t>
            </w:r>
            <w:r w:rsidR="005D63C1">
              <w:rPr>
                <w:rFonts w:ascii="Aptos" w:hAnsi="Aptos"/>
                <w:sz w:val="22"/>
                <w:szCs w:val="22"/>
              </w:rPr>
              <w:t xml:space="preserve">1 pkt </w:t>
            </w:r>
            <w:r>
              <w:rPr>
                <w:rFonts w:ascii="Aptos" w:hAnsi="Aptos"/>
                <w:sz w:val="22"/>
                <w:szCs w:val="22"/>
              </w:rPr>
              <w:t>9</w:t>
            </w:r>
          </w:p>
        </w:tc>
        <w:tc>
          <w:tcPr>
            <w:tcW w:w="4278" w:type="dxa"/>
          </w:tcPr>
          <w:p w14:paraId="35A8C189" w14:textId="086006F3" w:rsidR="00987E3F" w:rsidRPr="00FD484D" w:rsidRDefault="00987E3F" w:rsidP="00987E3F">
            <w:pPr>
              <w:widowControl/>
              <w:tabs>
                <w:tab w:val="left" w:pos="709"/>
              </w:tabs>
              <w:adjustRightInd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65216E">
              <w:rPr>
                <w:rFonts w:ascii="Aptos" w:hAnsi="Aptos" w:cs="Arial"/>
                <w:sz w:val="22"/>
                <w:szCs w:val="22"/>
              </w:rPr>
              <w:t>ustawy z dnia 11 września 2019 r. - Prawo zamówień publicznych;</w:t>
            </w:r>
          </w:p>
        </w:tc>
        <w:tc>
          <w:tcPr>
            <w:tcW w:w="4547" w:type="dxa"/>
          </w:tcPr>
          <w:p w14:paraId="2615679C" w14:textId="3A542F61" w:rsidR="00987E3F" w:rsidRPr="00FD484D" w:rsidRDefault="00987E3F" w:rsidP="00987E3F">
            <w:pPr>
              <w:widowControl/>
              <w:tabs>
                <w:tab w:val="left" w:pos="709"/>
              </w:tabs>
              <w:adjustRightInd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65216E">
              <w:rPr>
                <w:rFonts w:ascii="Aptos" w:hAnsi="Aptos" w:cs="Arial"/>
                <w:sz w:val="22"/>
                <w:szCs w:val="22"/>
              </w:rPr>
              <w:t>ustawy z dnia 11 września 2019 r. - Prawo zamówień publicznych</w:t>
            </w:r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240EBB">
              <w:rPr>
                <w:rFonts w:ascii="Aptos" w:hAnsi="Aptos" w:cs="Arial"/>
                <w:sz w:val="22"/>
                <w:szCs w:val="22"/>
              </w:rPr>
              <w:t>(</w:t>
            </w:r>
            <w:r w:rsidRPr="000027CE">
              <w:rPr>
                <w:rFonts w:ascii="Aptos" w:hAnsi="Aptos" w:cs="Arial"/>
                <w:color w:val="FF0000"/>
                <w:sz w:val="22"/>
                <w:szCs w:val="22"/>
              </w:rPr>
              <w:t>Dz. U. z 2024 r. poz. 1320 z późn. zm.</w:t>
            </w:r>
            <w:r w:rsidRPr="00240EBB">
              <w:rPr>
                <w:rFonts w:ascii="Aptos" w:hAnsi="Aptos" w:cs="Arial"/>
                <w:sz w:val="22"/>
                <w:szCs w:val="22"/>
              </w:rPr>
              <w:t>)</w:t>
            </w:r>
            <w:r w:rsidRPr="0065216E">
              <w:rPr>
                <w:rFonts w:ascii="Aptos" w:hAnsi="Aptos" w:cs="Arial"/>
                <w:sz w:val="22"/>
                <w:szCs w:val="22"/>
              </w:rPr>
              <w:t>;</w:t>
            </w:r>
          </w:p>
        </w:tc>
        <w:tc>
          <w:tcPr>
            <w:tcW w:w="2737" w:type="dxa"/>
          </w:tcPr>
          <w:p w14:paraId="1E34800D" w14:textId="099C3FA9" w:rsidR="00987E3F" w:rsidRPr="00FD484D" w:rsidRDefault="00987E3F" w:rsidP="00987E3F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Aktualizacja aktów prawnych</w:t>
            </w:r>
          </w:p>
        </w:tc>
      </w:tr>
      <w:tr w:rsidR="007D4CE4" w:rsidRPr="00FD484D" w14:paraId="4BDE1A41" w14:textId="77777777" w:rsidTr="00FA1626">
        <w:tc>
          <w:tcPr>
            <w:tcW w:w="687" w:type="dxa"/>
          </w:tcPr>
          <w:p w14:paraId="46DBF2F8" w14:textId="55012098" w:rsidR="007D4CE4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11</w:t>
            </w:r>
          </w:p>
        </w:tc>
        <w:tc>
          <w:tcPr>
            <w:tcW w:w="1748" w:type="dxa"/>
          </w:tcPr>
          <w:p w14:paraId="7F04F38D" w14:textId="00FABE0D" w:rsidR="007D4CE4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Par. 24 ust. 1 pkt 10</w:t>
            </w:r>
          </w:p>
        </w:tc>
        <w:tc>
          <w:tcPr>
            <w:tcW w:w="4278" w:type="dxa"/>
          </w:tcPr>
          <w:p w14:paraId="7C0051CB" w14:textId="5DD15CAB" w:rsidR="007D4CE4" w:rsidRPr="0065216E" w:rsidRDefault="007D4CE4" w:rsidP="007D4CE4">
            <w:pPr>
              <w:widowControl/>
              <w:tabs>
                <w:tab w:val="left" w:pos="709"/>
              </w:tabs>
              <w:adjustRightInd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Par. 24 ust. 1 pkt 10</w:t>
            </w:r>
            <w:r w:rsidR="003E7DA4">
              <w:rPr>
                <w:rFonts w:ascii="Aptos" w:hAnsi="Aptos"/>
                <w:sz w:val="22"/>
                <w:szCs w:val="22"/>
              </w:rPr>
              <w:t xml:space="preserve"> </w:t>
            </w:r>
            <w:r w:rsidR="003E7DA4" w:rsidRPr="0065216E">
              <w:rPr>
                <w:rFonts w:ascii="Aptos" w:hAnsi="Aptos" w:cs="Arial"/>
                <w:sz w:val="22"/>
                <w:szCs w:val="22"/>
              </w:rPr>
              <w:t>rozporządzenia Ministra Finansów z dnia 21 grudnia 2012 r. w sprawie płatności w</w:t>
            </w:r>
            <w:r w:rsidR="003E7DA4">
              <w:rPr>
                <w:rFonts w:ascii="Aptos" w:hAnsi="Aptos" w:cs="Arial"/>
                <w:sz w:val="22"/>
                <w:szCs w:val="22"/>
              </w:rPr>
              <w:t> </w:t>
            </w:r>
            <w:r w:rsidR="003E7DA4" w:rsidRPr="0065216E">
              <w:rPr>
                <w:rFonts w:ascii="Aptos" w:hAnsi="Aptos" w:cs="Arial"/>
                <w:sz w:val="22"/>
                <w:szCs w:val="22"/>
              </w:rPr>
              <w:t>ramach programów finansowanych z</w:t>
            </w:r>
            <w:r w:rsidR="003E7DA4">
              <w:rPr>
                <w:rFonts w:ascii="Aptos" w:hAnsi="Aptos" w:cs="Arial"/>
                <w:sz w:val="22"/>
                <w:szCs w:val="22"/>
              </w:rPr>
              <w:t> </w:t>
            </w:r>
            <w:r w:rsidR="003E7DA4" w:rsidRPr="0065216E">
              <w:rPr>
                <w:rFonts w:ascii="Aptos" w:hAnsi="Aptos" w:cs="Arial"/>
                <w:sz w:val="22"/>
                <w:szCs w:val="22"/>
              </w:rPr>
              <w:t>udziałem środków europejskich oraz przekazywania informacji dotyczących tych płatności (Dz. U. z 202</w:t>
            </w:r>
            <w:r w:rsidR="003E7DA4">
              <w:rPr>
                <w:rFonts w:ascii="Aptos" w:hAnsi="Aptos" w:cs="Arial"/>
                <w:sz w:val="22"/>
                <w:szCs w:val="22"/>
              </w:rPr>
              <w:t>4</w:t>
            </w:r>
            <w:r w:rsidR="003E7DA4" w:rsidRPr="0065216E">
              <w:rPr>
                <w:rFonts w:ascii="Aptos" w:hAnsi="Aptos" w:cs="Arial"/>
                <w:sz w:val="22"/>
                <w:szCs w:val="22"/>
              </w:rPr>
              <w:t xml:space="preserve"> r. </w:t>
            </w:r>
            <w:r w:rsidR="003E7DA4">
              <w:rPr>
                <w:rFonts w:ascii="Aptos" w:hAnsi="Aptos" w:cs="Arial"/>
                <w:sz w:val="22"/>
                <w:szCs w:val="22"/>
              </w:rPr>
              <w:t>poz. 869</w:t>
            </w:r>
            <w:r w:rsidR="003E7DA4" w:rsidRPr="0065216E">
              <w:rPr>
                <w:rFonts w:ascii="Aptos" w:hAnsi="Aptos" w:cs="Arial"/>
                <w:sz w:val="22"/>
                <w:szCs w:val="22"/>
              </w:rPr>
              <w:t>);</w:t>
            </w:r>
          </w:p>
        </w:tc>
        <w:tc>
          <w:tcPr>
            <w:tcW w:w="4547" w:type="dxa"/>
          </w:tcPr>
          <w:p w14:paraId="334ED667" w14:textId="6B4D93B8" w:rsidR="007D4CE4" w:rsidRPr="0065216E" w:rsidRDefault="007D4CE4" w:rsidP="007D4CE4">
            <w:pPr>
              <w:widowControl/>
              <w:tabs>
                <w:tab w:val="left" w:pos="709"/>
              </w:tabs>
              <w:adjustRightInd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Par. 24 ust. 1 </w:t>
            </w:r>
            <w:r w:rsidRPr="00FA1626">
              <w:rPr>
                <w:rFonts w:ascii="Aptos" w:hAnsi="Aptos"/>
                <w:color w:val="FF0000"/>
                <w:sz w:val="22"/>
                <w:szCs w:val="22"/>
              </w:rPr>
              <w:t>pkt 12</w:t>
            </w:r>
            <w:r w:rsidR="003E7DA4" w:rsidRPr="00FA1626">
              <w:rPr>
                <w:rFonts w:ascii="Aptos" w:hAnsi="Aptos"/>
                <w:color w:val="FF0000"/>
                <w:sz w:val="22"/>
                <w:szCs w:val="22"/>
              </w:rPr>
              <w:t xml:space="preserve"> </w:t>
            </w:r>
            <w:r w:rsidR="003E7DA4" w:rsidRPr="0065216E">
              <w:rPr>
                <w:rFonts w:ascii="Aptos" w:hAnsi="Aptos" w:cs="Arial"/>
                <w:sz w:val="22"/>
                <w:szCs w:val="22"/>
              </w:rPr>
              <w:t>rozporządzenia Ministra Finansów z dnia 21 grudnia 2012 r. w sprawie płatności w ramach programów finansowanych z udziałem środków europejskich oraz przekazywania</w:t>
            </w:r>
            <w:r w:rsidR="003E7DA4">
              <w:rPr>
                <w:rFonts w:ascii="Aptos" w:hAnsi="Aptos"/>
                <w:sz w:val="22"/>
                <w:szCs w:val="22"/>
              </w:rPr>
              <w:t xml:space="preserve"> </w:t>
            </w:r>
            <w:r w:rsidR="003E7DA4" w:rsidRPr="0065216E">
              <w:rPr>
                <w:rFonts w:ascii="Aptos" w:hAnsi="Aptos" w:cs="Arial"/>
                <w:sz w:val="22"/>
                <w:szCs w:val="22"/>
              </w:rPr>
              <w:t>informacji dotyczących tych płatności (Dz. U. z 202</w:t>
            </w:r>
            <w:r w:rsidR="003E7DA4">
              <w:rPr>
                <w:rFonts w:ascii="Aptos" w:hAnsi="Aptos" w:cs="Arial"/>
                <w:sz w:val="22"/>
                <w:szCs w:val="22"/>
              </w:rPr>
              <w:t>4</w:t>
            </w:r>
            <w:r w:rsidR="003E7DA4" w:rsidRPr="0065216E">
              <w:rPr>
                <w:rFonts w:ascii="Aptos" w:hAnsi="Aptos" w:cs="Arial"/>
                <w:sz w:val="22"/>
                <w:szCs w:val="22"/>
              </w:rPr>
              <w:t xml:space="preserve"> r. </w:t>
            </w:r>
            <w:r w:rsidR="003E7DA4">
              <w:rPr>
                <w:rFonts w:ascii="Aptos" w:hAnsi="Aptos" w:cs="Arial"/>
                <w:sz w:val="22"/>
                <w:szCs w:val="22"/>
              </w:rPr>
              <w:t xml:space="preserve">poz. 869 </w:t>
            </w:r>
            <w:r w:rsidR="003E7DA4" w:rsidRPr="00557B33">
              <w:rPr>
                <w:rFonts w:ascii="Aptos" w:hAnsi="Aptos" w:cs="Arial"/>
                <w:color w:val="FF0000"/>
                <w:sz w:val="22"/>
                <w:szCs w:val="22"/>
              </w:rPr>
              <w:t>oraz z 2025 r. poz. 1297</w:t>
            </w:r>
            <w:r w:rsidR="003E7DA4" w:rsidRPr="0065216E">
              <w:rPr>
                <w:rFonts w:ascii="Aptos" w:hAnsi="Aptos" w:cs="Arial"/>
                <w:sz w:val="22"/>
                <w:szCs w:val="22"/>
              </w:rPr>
              <w:t>);</w:t>
            </w:r>
          </w:p>
        </w:tc>
        <w:tc>
          <w:tcPr>
            <w:tcW w:w="2737" w:type="dxa"/>
          </w:tcPr>
          <w:p w14:paraId="7283F86B" w14:textId="3AAF3878" w:rsidR="007D4CE4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Zmiana numeracji</w:t>
            </w:r>
            <w:r w:rsidR="003E7DA4">
              <w:rPr>
                <w:rFonts w:ascii="Aptos" w:hAnsi="Aptos" w:cs="Arial"/>
                <w:sz w:val="22"/>
                <w:szCs w:val="22"/>
              </w:rPr>
              <w:t xml:space="preserve"> oraz aktualizacja aktów prawnych. </w:t>
            </w:r>
          </w:p>
        </w:tc>
      </w:tr>
      <w:tr w:rsidR="007D4CE4" w:rsidRPr="00694FB8" w14:paraId="3537709A" w14:textId="77777777" w:rsidTr="00FA1626">
        <w:tc>
          <w:tcPr>
            <w:tcW w:w="687" w:type="dxa"/>
          </w:tcPr>
          <w:p w14:paraId="15926667" w14:textId="3BA177E9" w:rsidR="007D4CE4" w:rsidRPr="00694FB8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12</w:t>
            </w:r>
          </w:p>
        </w:tc>
        <w:tc>
          <w:tcPr>
            <w:tcW w:w="1748" w:type="dxa"/>
          </w:tcPr>
          <w:p w14:paraId="2C6F29C7" w14:textId="3C81EEC6" w:rsidR="007D4CE4" w:rsidRPr="00694FB8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Par. 24 ust. 1 pkt 10</w:t>
            </w:r>
          </w:p>
        </w:tc>
        <w:tc>
          <w:tcPr>
            <w:tcW w:w="4278" w:type="dxa"/>
          </w:tcPr>
          <w:p w14:paraId="3FA27F26" w14:textId="5BA52BA5" w:rsidR="007D4CE4" w:rsidRPr="00037617" w:rsidRDefault="007D4CE4" w:rsidP="007D4CE4">
            <w:pPr>
              <w:widowControl/>
              <w:tabs>
                <w:tab w:val="left" w:pos="426"/>
              </w:tabs>
              <w:autoSpaceDE w:val="0"/>
              <w:autoSpaceDN w:val="0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 brak zapisu</w:t>
            </w:r>
          </w:p>
        </w:tc>
        <w:tc>
          <w:tcPr>
            <w:tcW w:w="4547" w:type="dxa"/>
          </w:tcPr>
          <w:p w14:paraId="57F4B60F" w14:textId="3639D367" w:rsidR="007D4CE4" w:rsidRPr="00037617" w:rsidRDefault="007D4CE4" w:rsidP="007D4CE4">
            <w:pPr>
              <w:widowControl/>
              <w:tabs>
                <w:tab w:val="left" w:pos="709"/>
              </w:tabs>
              <w:adjustRightInd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240EBB">
              <w:rPr>
                <w:rFonts w:ascii="Aptos" w:hAnsi="Aptos" w:cs="Arial"/>
                <w:sz w:val="22"/>
                <w:szCs w:val="22"/>
              </w:rPr>
              <w:t>ustawy z dnia 19 lipca 2019 r. o zapewnianiu dostępności osobom ze szczególnymi potrzebami (Dz. U. z 2024 r. poz. 1411)</w:t>
            </w:r>
            <w:r>
              <w:rPr>
                <w:rFonts w:ascii="Aptos" w:hAnsi="Aptos" w:cs="Arial"/>
                <w:sz w:val="22"/>
                <w:szCs w:val="22"/>
              </w:rPr>
              <w:t>;</w:t>
            </w:r>
          </w:p>
        </w:tc>
        <w:tc>
          <w:tcPr>
            <w:tcW w:w="2737" w:type="dxa"/>
          </w:tcPr>
          <w:p w14:paraId="61F954CF" w14:textId="6EE16E73" w:rsidR="007D4CE4" w:rsidRPr="00694FB8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743C17">
              <w:rPr>
                <w:rFonts w:ascii="Aptos" w:hAnsi="Aptos"/>
                <w:sz w:val="22"/>
                <w:szCs w:val="22"/>
              </w:rPr>
              <w:t>Zgodnie z pismem MFiPR znak DZF-XIII.6461.64.2025.DW z 26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września 2025 r. oraz pismem znak RF-EFS.430.28.2025.ML z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7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października 2025 r.</w:t>
            </w:r>
            <w:r w:rsidR="00FA1626"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>w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>
              <w:rPr>
                <w:rFonts w:ascii="Aptos" w:hAnsi="Aptos"/>
                <w:sz w:val="22"/>
                <w:szCs w:val="22"/>
              </w:rPr>
              <w:t>sprawie dostępności zamówień publicznych dla osób ze szczególnymi potrzebami.</w:t>
            </w:r>
          </w:p>
        </w:tc>
      </w:tr>
      <w:tr w:rsidR="007D4CE4" w:rsidRPr="00694FB8" w14:paraId="5943786C" w14:textId="77777777" w:rsidTr="00FA1626">
        <w:tc>
          <w:tcPr>
            <w:tcW w:w="687" w:type="dxa"/>
          </w:tcPr>
          <w:p w14:paraId="30474A7C" w14:textId="533F07B1" w:rsidR="007D4CE4" w:rsidDel="007D4CE4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13</w:t>
            </w:r>
          </w:p>
        </w:tc>
        <w:tc>
          <w:tcPr>
            <w:tcW w:w="1748" w:type="dxa"/>
          </w:tcPr>
          <w:p w14:paraId="3A01553C" w14:textId="1F661F38" w:rsidR="007D4CE4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Par. 24 ust. 1 pkt. 11</w:t>
            </w:r>
          </w:p>
        </w:tc>
        <w:tc>
          <w:tcPr>
            <w:tcW w:w="4278" w:type="dxa"/>
          </w:tcPr>
          <w:p w14:paraId="602F9EA2" w14:textId="3CFE8D73" w:rsidR="007D4CE4" w:rsidDel="007D4CE4" w:rsidRDefault="007D4CE4" w:rsidP="007D4CE4">
            <w:pPr>
              <w:widowControl/>
              <w:tabs>
                <w:tab w:val="left" w:pos="426"/>
              </w:tabs>
              <w:autoSpaceDE w:val="0"/>
              <w:autoSpaceDN w:val="0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par. 24 ust. 1 pkt. 11</w:t>
            </w:r>
          </w:p>
        </w:tc>
        <w:tc>
          <w:tcPr>
            <w:tcW w:w="4547" w:type="dxa"/>
          </w:tcPr>
          <w:p w14:paraId="1DE5A3C4" w14:textId="52C65639" w:rsidR="007D4CE4" w:rsidRPr="00240EBB" w:rsidRDefault="007D4CE4" w:rsidP="007D4CE4">
            <w:pPr>
              <w:widowControl/>
              <w:tabs>
                <w:tab w:val="left" w:pos="709"/>
              </w:tabs>
              <w:adjustRightInd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Par. 24 ust. 1 </w:t>
            </w:r>
            <w:r w:rsidRPr="00FA1626">
              <w:rPr>
                <w:rFonts w:ascii="Aptos" w:hAnsi="Aptos" w:cs="Arial"/>
                <w:color w:val="FF0000"/>
                <w:sz w:val="22"/>
                <w:szCs w:val="22"/>
              </w:rPr>
              <w:t>pkt 13</w:t>
            </w:r>
          </w:p>
        </w:tc>
        <w:tc>
          <w:tcPr>
            <w:tcW w:w="2737" w:type="dxa"/>
          </w:tcPr>
          <w:p w14:paraId="0DC853CC" w14:textId="32BF1961" w:rsidR="007D4CE4" w:rsidRPr="00743C17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Zmiana numeracji</w:t>
            </w:r>
          </w:p>
        </w:tc>
      </w:tr>
      <w:tr w:rsidR="007D4CE4" w:rsidRPr="0059451F" w14:paraId="1B694709" w14:textId="77777777" w:rsidTr="00FA1626">
        <w:tc>
          <w:tcPr>
            <w:tcW w:w="687" w:type="dxa"/>
          </w:tcPr>
          <w:p w14:paraId="7AB74A7A" w14:textId="6A8842AA" w:rsidR="007D4CE4" w:rsidRPr="0059451F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14</w:t>
            </w:r>
          </w:p>
        </w:tc>
        <w:tc>
          <w:tcPr>
            <w:tcW w:w="1748" w:type="dxa"/>
          </w:tcPr>
          <w:p w14:paraId="64B115C4" w14:textId="57D1799B" w:rsidR="007D4CE4" w:rsidRPr="0059451F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Par. 24 ust. 1 pkt 11</w:t>
            </w:r>
          </w:p>
        </w:tc>
        <w:tc>
          <w:tcPr>
            <w:tcW w:w="4278" w:type="dxa"/>
          </w:tcPr>
          <w:p w14:paraId="789CEC52" w14:textId="488CE47E" w:rsidR="007D4CE4" w:rsidRPr="0059451F" w:rsidRDefault="007D4CE4" w:rsidP="007D4CE4">
            <w:pPr>
              <w:tabs>
                <w:tab w:val="num" w:pos="360"/>
              </w:tabs>
              <w:spacing w:line="276" w:lineRule="auto"/>
              <w:jc w:val="left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 brak zapisu </w:t>
            </w:r>
          </w:p>
        </w:tc>
        <w:tc>
          <w:tcPr>
            <w:tcW w:w="4547" w:type="dxa"/>
          </w:tcPr>
          <w:p w14:paraId="37230A1D" w14:textId="10727E50" w:rsidR="007D4CE4" w:rsidRPr="0059451F" w:rsidRDefault="007D4CE4" w:rsidP="007D4CE4">
            <w:pPr>
              <w:widowControl/>
              <w:tabs>
                <w:tab w:val="left" w:pos="709"/>
              </w:tabs>
              <w:adjustRightInd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240EBB">
              <w:rPr>
                <w:rFonts w:ascii="Aptos" w:hAnsi="Aptos" w:cs="Arial"/>
                <w:sz w:val="22"/>
                <w:szCs w:val="22"/>
              </w:rPr>
              <w:t>ustawy z dnia 26 kwietnia 2024 r. o</w:t>
            </w:r>
            <w:r>
              <w:rPr>
                <w:rFonts w:ascii="Aptos" w:hAnsi="Aptos" w:cs="Arial"/>
                <w:sz w:val="22"/>
                <w:szCs w:val="22"/>
              </w:rPr>
              <w:t> </w:t>
            </w:r>
            <w:r w:rsidRPr="00240EBB">
              <w:rPr>
                <w:rFonts w:ascii="Aptos" w:hAnsi="Aptos" w:cs="Arial"/>
                <w:sz w:val="22"/>
                <w:szCs w:val="22"/>
              </w:rPr>
              <w:t>zapewnianiu spełniania wymagań dostępności niektórych produktów i usług przez podmioty gospodarcze (Dz. U. z 2024 r. poz. 731</w:t>
            </w:r>
            <w:r>
              <w:rPr>
                <w:rFonts w:ascii="Aptos" w:hAnsi="Aptos" w:cs="Arial"/>
                <w:sz w:val="22"/>
                <w:szCs w:val="22"/>
              </w:rPr>
              <w:t>;</w:t>
            </w:r>
          </w:p>
        </w:tc>
        <w:tc>
          <w:tcPr>
            <w:tcW w:w="2737" w:type="dxa"/>
          </w:tcPr>
          <w:p w14:paraId="5647CBFB" w14:textId="50F8705A" w:rsidR="007D4CE4" w:rsidRPr="0059451F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743C17">
              <w:rPr>
                <w:rFonts w:ascii="Aptos" w:hAnsi="Aptos"/>
                <w:sz w:val="22"/>
                <w:szCs w:val="22"/>
              </w:rPr>
              <w:t>Zgodnie z pismem MFiPR znak DZF</w:t>
            </w:r>
            <w:r w:rsidR="00FA1626">
              <w:rPr>
                <w:rFonts w:ascii="Aptos" w:hAnsi="Aptos"/>
                <w:sz w:val="22"/>
                <w:szCs w:val="22"/>
              </w:rPr>
              <w:t xml:space="preserve"> </w:t>
            </w:r>
            <w:r w:rsidRPr="00743C17">
              <w:rPr>
                <w:rFonts w:ascii="Aptos" w:hAnsi="Aptos"/>
                <w:sz w:val="22"/>
                <w:szCs w:val="22"/>
              </w:rPr>
              <w:t>XIII.6461.64.2025.DW z 26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września 2025 r. oraz pismem znak RF-EFS.430.28.2025.ML z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7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 w:rsidRPr="00743C17">
              <w:rPr>
                <w:rFonts w:ascii="Aptos" w:hAnsi="Aptos"/>
                <w:sz w:val="22"/>
                <w:szCs w:val="22"/>
              </w:rPr>
              <w:t>października 2025 r.</w:t>
            </w:r>
            <w:r w:rsidR="00FA1626"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>w</w:t>
            </w:r>
            <w:r w:rsidR="00FA1626">
              <w:rPr>
                <w:rFonts w:ascii="Aptos" w:hAnsi="Aptos"/>
                <w:sz w:val="22"/>
                <w:szCs w:val="22"/>
              </w:rPr>
              <w:t> </w:t>
            </w:r>
            <w:r>
              <w:rPr>
                <w:rFonts w:ascii="Aptos" w:hAnsi="Aptos"/>
                <w:sz w:val="22"/>
                <w:szCs w:val="22"/>
              </w:rPr>
              <w:t>sprawie dostępności zamówień publicznych dla osób ze szczególnymi potrzebami.</w:t>
            </w:r>
          </w:p>
        </w:tc>
      </w:tr>
      <w:tr w:rsidR="007D4CE4" w:rsidRPr="00DD057E" w14:paraId="670E518F" w14:textId="77777777" w:rsidTr="00FA1626">
        <w:tc>
          <w:tcPr>
            <w:tcW w:w="687" w:type="dxa"/>
          </w:tcPr>
          <w:p w14:paraId="05D22F42" w14:textId="60269634" w:rsidR="007D4CE4" w:rsidRPr="00DD057E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</w:t>
            </w:r>
            <w:r w:rsidR="003E7DA4"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1748" w:type="dxa"/>
          </w:tcPr>
          <w:p w14:paraId="6B6BBA56" w14:textId="25D3B0D2" w:rsidR="007D4CE4" w:rsidRPr="00DD057E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Załącznik nr 4</w:t>
            </w:r>
          </w:p>
        </w:tc>
        <w:tc>
          <w:tcPr>
            <w:tcW w:w="11562" w:type="dxa"/>
            <w:gridSpan w:val="3"/>
          </w:tcPr>
          <w:p w14:paraId="35465A98" w14:textId="60A18EF2" w:rsidR="007D4CE4" w:rsidRPr="00DD057E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B56BE4">
              <w:rPr>
                <w:rFonts w:ascii="Aptos" w:hAnsi="Aptos"/>
                <w:sz w:val="22"/>
                <w:szCs w:val="22"/>
              </w:rPr>
              <w:t>Zmiana w związku z aktualizacją Podręcznika wnioskodawcy i beneficjenta Funduszy Europejskich na lata 2021-2027 w zakresie informacji i promocji z dnia 24 marca 2025 r</w:t>
            </w:r>
            <w:r>
              <w:rPr>
                <w:rFonts w:ascii="Aptos" w:hAnsi="Aptos"/>
                <w:sz w:val="22"/>
                <w:szCs w:val="22"/>
              </w:rPr>
              <w:t>. – dokument uzupełniono o informację, gdzie należy szukać znaków Funduszy Europejskich, barw Rzeczypospolitej Polskiej oraz Unii Europejskiej.</w:t>
            </w:r>
          </w:p>
        </w:tc>
      </w:tr>
      <w:tr w:rsidR="007D4CE4" w:rsidRPr="00DD057E" w14:paraId="518291E4" w14:textId="77777777" w:rsidTr="00FA1626">
        <w:tc>
          <w:tcPr>
            <w:tcW w:w="687" w:type="dxa"/>
          </w:tcPr>
          <w:p w14:paraId="30D6D87F" w14:textId="435D4054" w:rsidR="007D4CE4" w:rsidRPr="00DD057E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</w:t>
            </w:r>
            <w:r w:rsidR="003E7DA4"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1748" w:type="dxa"/>
          </w:tcPr>
          <w:p w14:paraId="3D3C4AC4" w14:textId="0264E50A" w:rsidR="007D4CE4" w:rsidRPr="00DD057E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Załącznik nr 5</w:t>
            </w:r>
          </w:p>
        </w:tc>
        <w:tc>
          <w:tcPr>
            <w:tcW w:w="11562" w:type="dxa"/>
            <w:gridSpan w:val="3"/>
          </w:tcPr>
          <w:p w14:paraId="7230B452" w14:textId="7BBD2FDD" w:rsidR="007D4CE4" w:rsidRPr="00DD057E" w:rsidRDefault="007D4CE4" w:rsidP="007D4CE4">
            <w:pPr>
              <w:spacing w:line="276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B56BE4">
              <w:rPr>
                <w:rFonts w:ascii="Aptos" w:hAnsi="Aptos"/>
                <w:sz w:val="22"/>
                <w:szCs w:val="22"/>
              </w:rPr>
              <w:t>Zmiana w związku z aktualizacją Podręcznika wnioskodawcy i beneficjenta Funduszy Europejskich na lata 2021-2027 w zakresie informacji i promocji z dnia 24 marca 2025 r</w:t>
            </w:r>
            <w:r>
              <w:rPr>
                <w:rFonts w:ascii="Aptos" w:hAnsi="Aptos"/>
                <w:sz w:val="22"/>
                <w:szCs w:val="22"/>
              </w:rPr>
              <w:t>. – rozszerzenie punktu o informację dotyczącą konieczności umieszczenia nazwy „Rzeczpospolita Polska” oraz napisu „Dofinansowane przez Unię Europejską”.</w:t>
            </w:r>
          </w:p>
        </w:tc>
      </w:tr>
      <w:tr w:rsidR="007D4CE4" w:rsidRPr="00694FB8" w14:paraId="7C9DF85D" w14:textId="77777777" w:rsidTr="00FA1626">
        <w:tc>
          <w:tcPr>
            <w:tcW w:w="687" w:type="dxa"/>
          </w:tcPr>
          <w:p w14:paraId="3539573E" w14:textId="6B799E85" w:rsidR="007D4CE4" w:rsidRPr="00694FB8" w:rsidRDefault="007D4CE4" w:rsidP="007D4CE4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</w:t>
            </w:r>
            <w:r w:rsidR="003E7DA4"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13310" w:type="dxa"/>
            <w:gridSpan w:val="4"/>
          </w:tcPr>
          <w:p w14:paraId="560AEFCA" w14:textId="477371DE" w:rsidR="007D4CE4" w:rsidRPr="00694FB8" w:rsidRDefault="007D4CE4" w:rsidP="007D4CE4">
            <w:pPr>
              <w:spacing w:line="240" w:lineRule="auto"/>
              <w:jc w:val="left"/>
              <w:rPr>
                <w:rFonts w:ascii="Aptos" w:hAnsi="Aptos"/>
                <w:sz w:val="22"/>
                <w:szCs w:val="22"/>
              </w:rPr>
            </w:pPr>
            <w:r w:rsidRPr="00694FB8">
              <w:rPr>
                <w:rFonts w:ascii="Aptos" w:hAnsi="Aptos"/>
                <w:sz w:val="22"/>
                <w:szCs w:val="22"/>
              </w:rPr>
              <w:t>Zmiany redakcyjne</w:t>
            </w:r>
          </w:p>
        </w:tc>
      </w:tr>
    </w:tbl>
    <w:p w14:paraId="534DFBC6" w14:textId="77777777" w:rsidR="00474844" w:rsidRPr="00694FB8" w:rsidRDefault="00474844">
      <w:pPr>
        <w:rPr>
          <w:rFonts w:ascii="Aptos" w:hAnsi="Aptos"/>
          <w:sz w:val="22"/>
          <w:szCs w:val="22"/>
        </w:rPr>
      </w:pPr>
    </w:p>
    <w:p w14:paraId="7528FA4E" w14:textId="1A03F555" w:rsidR="003B0E71" w:rsidRDefault="001970F5" w:rsidP="00201597">
      <w:pPr>
        <w:rPr>
          <w:rFonts w:ascii="Aptos" w:hAnsi="Aptos"/>
          <w:sz w:val="22"/>
          <w:szCs w:val="22"/>
        </w:rPr>
      </w:pPr>
      <w:r w:rsidRPr="002450B7">
        <w:rPr>
          <w:rFonts w:ascii="Aptos" w:hAnsi="Aptos"/>
          <w:sz w:val="22"/>
          <w:szCs w:val="22"/>
        </w:rPr>
        <w:t>Sporządził</w:t>
      </w:r>
      <w:r w:rsidR="00D051D3" w:rsidRPr="002450B7">
        <w:rPr>
          <w:rFonts w:ascii="Aptos" w:hAnsi="Aptos"/>
          <w:sz w:val="22"/>
          <w:szCs w:val="22"/>
        </w:rPr>
        <w:t>: ..........</w:t>
      </w:r>
      <w:r w:rsidR="001E3A03" w:rsidRPr="002450B7">
        <w:rPr>
          <w:rFonts w:ascii="Aptos" w:hAnsi="Aptos"/>
          <w:sz w:val="22"/>
          <w:szCs w:val="22"/>
        </w:rPr>
        <w:t>......</w:t>
      </w:r>
      <w:r w:rsidR="00D051D3" w:rsidRPr="002450B7">
        <w:rPr>
          <w:rFonts w:ascii="Aptos" w:hAnsi="Aptos"/>
          <w:sz w:val="22"/>
          <w:szCs w:val="22"/>
        </w:rPr>
        <w:t>..............................</w:t>
      </w:r>
      <w:r w:rsidR="001E3A03" w:rsidRPr="002450B7">
        <w:rPr>
          <w:rFonts w:ascii="Aptos" w:hAnsi="Aptos"/>
          <w:sz w:val="22"/>
          <w:szCs w:val="22"/>
        </w:rPr>
        <w:t>.</w:t>
      </w:r>
      <w:r w:rsidR="00D051D3" w:rsidRPr="002450B7">
        <w:rPr>
          <w:rFonts w:ascii="Aptos" w:hAnsi="Aptos"/>
          <w:sz w:val="22"/>
          <w:szCs w:val="22"/>
        </w:rPr>
        <w:t>........</w:t>
      </w:r>
    </w:p>
    <w:p w14:paraId="0D48553D" w14:textId="77777777" w:rsidR="00853DB8" w:rsidRPr="002450B7" w:rsidRDefault="00853DB8" w:rsidP="00201597">
      <w:pPr>
        <w:rPr>
          <w:rFonts w:ascii="Aptos" w:hAnsi="Aptos"/>
          <w:sz w:val="22"/>
          <w:szCs w:val="22"/>
        </w:rPr>
      </w:pPr>
    </w:p>
    <w:p w14:paraId="5FD846D0" w14:textId="24E779F9" w:rsidR="003B0E71" w:rsidRDefault="00D051D3" w:rsidP="0015115F">
      <w:pPr>
        <w:tabs>
          <w:tab w:val="left" w:pos="0"/>
        </w:tabs>
        <w:rPr>
          <w:rFonts w:ascii="Aptos" w:hAnsi="Aptos"/>
          <w:sz w:val="22"/>
          <w:szCs w:val="22"/>
        </w:rPr>
      </w:pPr>
      <w:r w:rsidRPr="002450B7">
        <w:rPr>
          <w:rFonts w:ascii="Aptos" w:hAnsi="Aptos"/>
          <w:sz w:val="22"/>
          <w:szCs w:val="22"/>
        </w:rPr>
        <w:t>Wstępnie akceptował: ........................</w:t>
      </w:r>
      <w:r w:rsidR="001E3A03" w:rsidRPr="002450B7">
        <w:rPr>
          <w:rFonts w:ascii="Aptos" w:hAnsi="Aptos"/>
          <w:sz w:val="22"/>
          <w:szCs w:val="22"/>
        </w:rPr>
        <w:t>....</w:t>
      </w:r>
      <w:r w:rsidRPr="002450B7">
        <w:rPr>
          <w:rFonts w:ascii="Aptos" w:hAnsi="Aptos"/>
          <w:sz w:val="22"/>
          <w:szCs w:val="22"/>
        </w:rPr>
        <w:t>..........</w:t>
      </w:r>
    </w:p>
    <w:p w14:paraId="713C235B" w14:textId="77777777" w:rsidR="00853DB8" w:rsidRPr="002450B7" w:rsidRDefault="00853DB8" w:rsidP="0015115F">
      <w:pPr>
        <w:tabs>
          <w:tab w:val="left" w:pos="0"/>
        </w:tabs>
        <w:rPr>
          <w:rFonts w:ascii="Aptos" w:hAnsi="Aptos"/>
          <w:sz w:val="22"/>
          <w:szCs w:val="22"/>
        </w:rPr>
      </w:pPr>
    </w:p>
    <w:p w14:paraId="0E92D7C1" w14:textId="57C07673" w:rsidR="008A6271" w:rsidRPr="002450B7" w:rsidRDefault="00D27048">
      <w:pPr>
        <w:tabs>
          <w:tab w:val="left" w:pos="0"/>
        </w:tabs>
        <w:rPr>
          <w:rFonts w:ascii="Aptos" w:hAnsi="Aptos"/>
          <w:sz w:val="22"/>
          <w:szCs w:val="22"/>
        </w:rPr>
      </w:pPr>
      <w:r w:rsidRPr="002450B7">
        <w:rPr>
          <w:rFonts w:ascii="Aptos" w:hAnsi="Aptos"/>
          <w:sz w:val="22"/>
          <w:szCs w:val="22"/>
        </w:rPr>
        <w:t xml:space="preserve">Zatwierdził: </w:t>
      </w:r>
      <w:r w:rsidR="00474844" w:rsidRPr="002450B7">
        <w:rPr>
          <w:rFonts w:ascii="Aptos" w:hAnsi="Aptos"/>
          <w:sz w:val="22"/>
          <w:szCs w:val="22"/>
        </w:rPr>
        <w:t>……………………</w:t>
      </w:r>
      <w:r w:rsidR="001E3A03" w:rsidRPr="002450B7">
        <w:rPr>
          <w:rFonts w:ascii="Aptos" w:hAnsi="Aptos"/>
          <w:sz w:val="22"/>
          <w:szCs w:val="22"/>
        </w:rPr>
        <w:t>…</w:t>
      </w:r>
      <w:r w:rsidR="00474844" w:rsidRPr="002450B7">
        <w:rPr>
          <w:rFonts w:ascii="Aptos" w:hAnsi="Aptos"/>
          <w:sz w:val="22"/>
          <w:szCs w:val="22"/>
        </w:rPr>
        <w:t>…………</w:t>
      </w:r>
      <w:r w:rsidR="0076062C">
        <w:rPr>
          <w:rFonts w:ascii="Aptos" w:hAnsi="Aptos"/>
          <w:sz w:val="22"/>
          <w:szCs w:val="22"/>
        </w:rPr>
        <w:t>……………..</w:t>
      </w:r>
    </w:p>
    <w:p w14:paraId="795849CF" w14:textId="77777777" w:rsidR="008A7BA7" w:rsidRPr="002450B7" w:rsidRDefault="008A7BA7">
      <w:pPr>
        <w:tabs>
          <w:tab w:val="left" w:pos="0"/>
        </w:tabs>
        <w:rPr>
          <w:rFonts w:ascii="Aptos" w:hAnsi="Aptos"/>
          <w:sz w:val="22"/>
          <w:szCs w:val="22"/>
        </w:rPr>
      </w:pPr>
    </w:p>
    <w:sectPr w:rsidR="008A7BA7" w:rsidRPr="002450B7" w:rsidSect="00A27FF6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D16C" w14:textId="77777777" w:rsidR="00FA06DF" w:rsidRDefault="00FA06DF">
      <w:r>
        <w:separator/>
      </w:r>
    </w:p>
  </w:endnote>
  <w:endnote w:type="continuationSeparator" w:id="0">
    <w:p w14:paraId="05C57057" w14:textId="77777777" w:rsidR="00FA06DF" w:rsidRDefault="00FA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284033"/>
      <w:docPartObj>
        <w:docPartGallery w:val="Page Numbers (Bottom of Page)"/>
        <w:docPartUnique/>
      </w:docPartObj>
    </w:sdtPr>
    <w:sdtEndPr/>
    <w:sdtContent>
      <w:p w14:paraId="1F786ACB" w14:textId="4C889616" w:rsidR="0067278C" w:rsidRDefault="0067278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CCBCC" w14:textId="77777777" w:rsidR="0067278C" w:rsidRDefault="00672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D684" w14:textId="77777777" w:rsidR="00FA06DF" w:rsidRDefault="00FA06DF">
      <w:r>
        <w:separator/>
      </w:r>
    </w:p>
  </w:footnote>
  <w:footnote w:type="continuationSeparator" w:id="0">
    <w:p w14:paraId="6B108131" w14:textId="77777777" w:rsidR="00FA06DF" w:rsidRDefault="00FA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BF5"/>
    <w:multiLevelType w:val="hybridMultilevel"/>
    <w:tmpl w:val="4D2E746C"/>
    <w:lvl w:ilvl="0" w:tplc="5AF85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27E41"/>
    <w:multiLevelType w:val="hybridMultilevel"/>
    <w:tmpl w:val="8B76A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65D1C"/>
    <w:multiLevelType w:val="hybridMultilevel"/>
    <w:tmpl w:val="F86CC8C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4506EA9"/>
    <w:multiLevelType w:val="hybridMultilevel"/>
    <w:tmpl w:val="25D2324E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316E9"/>
    <w:multiLevelType w:val="hybridMultilevel"/>
    <w:tmpl w:val="196C9D86"/>
    <w:lvl w:ilvl="0" w:tplc="9740F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AD6A6A42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BFB2A4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B13A8"/>
    <w:multiLevelType w:val="hybridMultilevel"/>
    <w:tmpl w:val="0922D35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1CEB"/>
    <w:multiLevelType w:val="hybridMultilevel"/>
    <w:tmpl w:val="6DA85180"/>
    <w:lvl w:ilvl="0" w:tplc="7286236C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)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4F30162"/>
    <w:multiLevelType w:val="hybridMultilevel"/>
    <w:tmpl w:val="8954CF84"/>
    <w:lvl w:ilvl="0" w:tplc="1D687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D5015B"/>
    <w:multiLevelType w:val="hybridMultilevel"/>
    <w:tmpl w:val="4C2EE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E80B5F"/>
    <w:multiLevelType w:val="hybridMultilevel"/>
    <w:tmpl w:val="281E677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F141E"/>
    <w:multiLevelType w:val="hybridMultilevel"/>
    <w:tmpl w:val="EACE8C9C"/>
    <w:lvl w:ilvl="0" w:tplc="C50E4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CA686E"/>
    <w:multiLevelType w:val="multilevel"/>
    <w:tmpl w:val="50E24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3">
      <w:start w:val="1"/>
      <w:numFmt w:val="decimal"/>
      <w:pStyle w:val="Nagwek4TimesNewRoman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76D94021"/>
    <w:multiLevelType w:val="hybridMultilevel"/>
    <w:tmpl w:val="E2C05EA8"/>
    <w:lvl w:ilvl="0" w:tplc="EB0842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76642">
    <w:abstractNumId w:val="13"/>
  </w:num>
  <w:num w:numId="2" w16cid:durableId="1321423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7114863">
    <w:abstractNumId w:val="12"/>
  </w:num>
  <w:num w:numId="4" w16cid:durableId="65568310">
    <w:abstractNumId w:val="11"/>
  </w:num>
  <w:num w:numId="5" w16cid:durableId="91557499">
    <w:abstractNumId w:val="0"/>
  </w:num>
  <w:num w:numId="6" w16cid:durableId="296304040">
    <w:abstractNumId w:val="9"/>
  </w:num>
  <w:num w:numId="7" w16cid:durableId="946690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1473643">
    <w:abstractNumId w:val="14"/>
  </w:num>
  <w:num w:numId="9" w16cid:durableId="1872915238">
    <w:abstractNumId w:val="4"/>
  </w:num>
  <w:num w:numId="10" w16cid:durableId="1612859310">
    <w:abstractNumId w:val="3"/>
  </w:num>
  <w:num w:numId="11" w16cid:durableId="313527094">
    <w:abstractNumId w:val="8"/>
  </w:num>
  <w:num w:numId="12" w16cid:durableId="386489961">
    <w:abstractNumId w:val="7"/>
  </w:num>
  <w:num w:numId="13" w16cid:durableId="1637105941">
    <w:abstractNumId w:val="6"/>
  </w:num>
  <w:num w:numId="14" w16cid:durableId="1029725023">
    <w:abstractNumId w:val="2"/>
  </w:num>
  <w:num w:numId="15" w16cid:durableId="1049185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F6"/>
    <w:rsid w:val="000027CE"/>
    <w:rsid w:val="00015519"/>
    <w:rsid w:val="0002510A"/>
    <w:rsid w:val="00037617"/>
    <w:rsid w:val="00053E48"/>
    <w:rsid w:val="00062981"/>
    <w:rsid w:val="0007154B"/>
    <w:rsid w:val="000722F9"/>
    <w:rsid w:val="000871E8"/>
    <w:rsid w:val="00095445"/>
    <w:rsid w:val="000B55CD"/>
    <w:rsid w:val="000D1442"/>
    <w:rsid w:val="000D495D"/>
    <w:rsid w:val="00104932"/>
    <w:rsid w:val="00112B4A"/>
    <w:rsid w:val="00123A03"/>
    <w:rsid w:val="001253A8"/>
    <w:rsid w:val="00127261"/>
    <w:rsid w:val="00132335"/>
    <w:rsid w:val="00133883"/>
    <w:rsid w:val="001419D3"/>
    <w:rsid w:val="0015115F"/>
    <w:rsid w:val="001609E7"/>
    <w:rsid w:val="00160D30"/>
    <w:rsid w:val="001970F5"/>
    <w:rsid w:val="001A567D"/>
    <w:rsid w:val="001C58DB"/>
    <w:rsid w:val="001C75AF"/>
    <w:rsid w:val="001E2C2C"/>
    <w:rsid w:val="001E3A03"/>
    <w:rsid w:val="001E6DA6"/>
    <w:rsid w:val="00201597"/>
    <w:rsid w:val="00240FC5"/>
    <w:rsid w:val="002450B7"/>
    <w:rsid w:val="0026525E"/>
    <w:rsid w:val="0027541D"/>
    <w:rsid w:val="002978B3"/>
    <w:rsid w:val="002A615A"/>
    <w:rsid w:val="002A761E"/>
    <w:rsid w:val="002B3836"/>
    <w:rsid w:val="002C46AC"/>
    <w:rsid w:val="002D0EC8"/>
    <w:rsid w:val="002F00B7"/>
    <w:rsid w:val="002F0895"/>
    <w:rsid w:val="0032205C"/>
    <w:rsid w:val="0032638D"/>
    <w:rsid w:val="00355173"/>
    <w:rsid w:val="0036258A"/>
    <w:rsid w:val="003A1EC7"/>
    <w:rsid w:val="003B0E71"/>
    <w:rsid w:val="003B7E1D"/>
    <w:rsid w:val="003C105F"/>
    <w:rsid w:val="003C1E50"/>
    <w:rsid w:val="003C544B"/>
    <w:rsid w:val="003D6FA7"/>
    <w:rsid w:val="003E537D"/>
    <w:rsid w:val="003E7DA4"/>
    <w:rsid w:val="003F7C48"/>
    <w:rsid w:val="00416D53"/>
    <w:rsid w:val="00417E2A"/>
    <w:rsid w:val="00422697"/>
    <w:rsid w:val="00450D33"/>
    <w:rsid w:val="0045730C"/>
    <w:rsid w:val="00474844"/>
    <w:rsid w:val="00475562"/>
    <w:rsid w:val="00480132"/>
    <w:rsid w:val="004856F0"/>
    <w:rsid w:val="004B2E57"/>
    <w:rsid w:val="004C7149"/>
    <w:rsid w:val="004F1CB3"/>
    <w:rsid w:val="00542171"/>
    <w:rsid w:val="00546A57"/>
    <w:rsid w:val="005474AA"/>
    <w:rsid w:val="00557B33"/>
    <w:rsid w:val="005602DE"/>
    <w:rsid w:val="00580706"/>
    <w:rsid w:val="0058193E"/>
    <w:rsid w:val="0058261D"/>
    <w:rsid w:val="00583C24"/>
    <w:rsid w:val="0059219E"/>
    <w:rsid w:val="0059451F"/>
    <w:rsid w:val="005B1CDC"/>
    <w:rsid w:val="005B3178"/>
    <w:rsid w:val="005C0D34"/>
    <w:rsid w:val="005C0DE3"/>
    <w:rsid w:val="005D63C1"/>
    <w:rsid w:val="00620F1F"/>
    <w:rsid w:val="00623FFB"/>
    <w:rsid w:val="00634798"/>
    <w:rsid w:val="00634F9F"/>
    <w:rsid w:val="00640C62"/>
    <w:rsid w:val="00642B2B"/>
    <w:rsid w:val="00646FDE"/>
    <w:rsid w:val="0064793B"/>
    <w:rsid w:val="0067278C"/>
    <w:rsid w:val="00694744"/>
    <w:rsid w:val="00694FB8"/>
    <w:rsid w:val="006D3E02"/>
    <w:rsid w:val="00727295"/>
    <w:rsid w:val="00743C17"/>
    <w:rsid w:val="0076062C"/>
    <w:rsid w:val="00780043"/>
    <w:rsid w:val="007A2DD2"/>
    <w:rsid w:val="007B35ED"/>
    <w:rsid w:val="007B4356"/>
    <w:rsid w:val="007C55AE"/>
    <w:rsid w:val="007D4CE4"/>
    <w:rsid w:val="007E1604"/>
    <w:rsid w:val="007E2819"/>
    <w:rsid w:val="007F271E"/>
    <w:rsid w:val="008123CC"/>
    <w:rsid w:val="008240D7"/>
    <w:rsid w:val="00836832"/>
    <w:rsid w:val="00837C1C"/>
    <w:rsid w:val="00842090"/>
    <w:rsid w:val="00847418"/>
    <w:rsid w:val="00853DB8"/>
    <w:rsid w:val="00864045"/>
    <w:rsid w:val="00876E4F"/>
    <w:rsid w:val="00891B53"/>
    <w:rsid w:val="008A6271"/>
    <w:rsid w:val="008A7BA7"/>
    <w:rsid w:val="008C4844"/>
    <w:rsid w:val="008C49C8"/>
    <w:rsid w:val="008F1803"/>
    <w:rsid w:val="008F66D5"/>
    <w:rsid w:val="009204EC"/>
    <w:rsid w:val="009312EC"/>
    <w:rsid w:val="00941502"/>
    <w:rsid w:val="009438AB"/>
    <w:rsid w:val="009451C7"/>
    <w:rsid w:val="00954D6C"/>
    <w:rsid w:val="00987E3F"/>
    <w:rsid w:val="0099370C"/>
    <w:rsid w:val="00997206"/>
    <w:rsid w:val="009A4B08"/>
    <w:rsid w:val="009B0928"/>
    <w:rsid w:val="009B28AF"/>
    <w:rsid w:val="009B7140"/>
    <w:rsid w:val="009D3A78"/>
    <w:rsid w:val="009E4C1B"/>
    <w:rsid w:val="009E70FC"/>
    <w:rsid w:val="009F381B"/>
    <w:rsid w:val="009F78E2"/>
    <w:rsid w:val="00A21A68"/>
    <w:rsid w:val="00A27FF6"/>
    <w:rsid w:val="00A318F5"/>
    <w:rsid w:val="00A525A8"/>
    <w:rsid w:val="00A53CA9"/>
    <w:rsid w:val="00A57817"/>
    <w:rsid w:val="00A70BF5"/>
    <w:rsid w:val="00A82492"/>
    <w:rsid w:val="00A93776"/>
    <w:rsid w:val="00AB19DB"/>
    <w:rsid w:val="00AB478B"/>
    <w:rsid w:val="00AB6CD7"/>
    <w:rsid w:val="00AB6F85"/>
    <w:rsid w:val="00AB7EFF"/>
    <w:rsid w:val="00AD0262"/>
    <w:rsid w:val="00AD526C"/>
    <w:rsid w:val="00B20D51"/>
    <w:rsid w:val="00B23286"/>
    <w:rsid w:val="00B379DB"/>
    <w:rsid w:val="00B46C93"/>
    <w:rsid w:val="00B534C7"/>
    <w:rsid w:val="00C11027"/>
    <w:rsid w:val="00C55EEC"/>
    <w:rsid w:val="00C72E3A"/>
    <w:rsid w:val="00C76F08"/>
    <w:rsid w:val="00C81173"/>
    <w:rsid w:val="00C87933"/>
    <w:rsid w:val="00CA225B"/>
    <w:rsid w:val="00CA4F2C"/>
    <w:rsid w:val="00CB7BF8"/>
    <w:rsid w:val="00CC0353"/>
    <w:rsid w:val="00CD395C"/>
    <w:rsid w:val="00CE01EF"/>
    <w:rsid w:val="00CF7DC0"/>
    <w:rsid w:val="00D0156A"/>
    <w:rsid w:val="00D051D3"/>
    <w:rsid w:val="00D06C5E"/>
    <w:rsid w:val="00D16E26"/>
    <w:rsid w:val="00D2488D"/>
    <w:rsid w:val="00D25076"/>
    <w:rsid w:val="00D27048"/>
    <w:rsid w:val="00D50598"/>
    <w:rsid w:val="00D74E05"/>
    <w:rsid w:val="00D87200"/>
    <w:rsid w:val="00D92F7C"/>
    <w:rsid w:val="00D96A60"/>
    <w:rsid w:val="00DA256E"/>
    <w:rsid w:val="00DA4FC5"/>
    <w:rsid w:val="00DB20D3"/>
    <w:rsid w:val="00DC5FD5"/>
    <w:rsid w:val="00DD057E"/>
    <w:rsid w:val="00DD7EDB"/>
    <w:rsid w:val="00DE386A"/>
    <w:rsid w:val="00DF44F8"/>
    <w:rsid w:val="00E020C7"/>
    <w:rsid w:val="00E1132D"/>
    <w:rsid w:val="00E40F86"/>
    <w:rsid w:val="00E45120"/>
    <w:rsid w:val="00E6684C"/>
    <w:rsid w:val="00E8201C"/>
    <w:rsid w:val="00E849ED"/>
    <w:rsid w:val="00E87F9E"/>
    <w:rsid w:val="00EA08E1"/>
    <w:rsid w:val="00EB0C8B"/>
    <w:rsid w:val="00EC1711"/>
    <w:rsid w:val="00EC350F"/>
    <w:rsid w:val="00EC4072"/>
    <w:rsid w:val="00ED692E"/>
    <w:rsid w:val="00F07B8B"/>
    <w:rsid w:val="00F128AF"/>
    <w:rsid w:val="00F150C0"/>
    <w:rsid w:val="00F31CAD"/>
    <w:rsid w:val="00F33FCC"/>
    <w:rsid w:val="00F355EC"/>
    <w:rsid w:val="00F51A91"/>
    <w:rsid w:val="00F57EC1"/>
    <w:rsid w:val="00F623FE"/>
    <w:rsid w:val="00F823FA"/>
    <w:rsid w:val="00F90928"/>
    <w:rsid w:val="00F92481"/>
    <w:rsid w:val="00FA06DF"/>
    <w:rsid w:val="00FA1626"/>
    <w:rsid w:val="00FB1272"/>
    <w:rsid w:val="00FC5E95"/>
    <w:rsid w:val="00FD484D"/>
    <w:rsid w:val="00FD545A"/>
    <w:rsid w:val="00FE79F2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CF042E"/>
  <w15:chartTrackingRefBased/>
  <w15:docId w15:val="{F32894BA-FD83-4849-9B82-C682E692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7FF6"/>
    <w:pPr>
      <w:widowControl w:val="0"/>
      <w:adjustRightInd w:val="0"/>
      <w:spacing w:line="360" w:lineRule="atLeast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31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B31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5B31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2"/>
    <w:autoRedefine/>
    <w:semiHidden/>
    <w:rsid w:val="005B3178"/>
    <w:pPr>
      <w:spacing w:before="0" w:after="0"/>
    </w:pPr>
    <w:rPr>
      <w:rFonts w:ascii="Times New Roman" w:hAnsi="Times New Roman"/>
      <w:bCs w:val="0"/>
      <w:smallCaps/>
      <w:sz w:val="26"/>
      <w:szCs w:val="24"/>
    </w:rPr>
  </w:style>
  <w:style w:type="paragraph" w:styleId="Spistreci4">
    <w:name w:val="toc 4"/>
    <w:basedOn w:val="Nagwek4"/>
    <w:next w:val="Normalny"/>
    <w:autoRedefine/>
    <w:semiHidden/>
    <w:rsid w:val="005B3178"/>
    <w:pPr>
      <w:tabs>
        <w:tab w:val="left" w:pos="1728"/>
        <w:tab w:val="left" w:leader="underscore" w:pos="9072"/>
      </w:tabs>
      <w:ind w:left="567"/>
    </w:pPr>
    <w:rPr>
      <w:i/>
      <w:sz w:val="18"/>
      <w:szCs w:val="18"/>
    </w:rPr>
  </w:style>
  <w:style w:type="paragraph" w:customStyle="1" w:styleId="Nagwek4TimesNewRoman">
    <w:name w:val="Nagłówek 4 + Times New Roman"/>
    <w:aliases w:val="12 pt,Nie Pogrubienie"/>
    <w:basedOn w:val="Nagwek4"/>
    <w:rsid w:val="005B3178"/>
    <w:pPr>
      <w:numPr>
        <w:ilvl w:val="3"/>
        <w:numId w:val="1"/>
      </w:numPr>
    </w:pPr>
    <w:rPr>
      <w:b w:val="0"/>
      <w:sz w:val="24"/>
      <w:szCs w:val="24"/>
    </w:rPr>
  </w:style>
  <w:style w:type="paragraph" w:customStyle="1" w:styleId="Znak">
    <w:name w:val="Znak"/>
    <w:basedOn w:val="Normalny"/>
    <w:rsid w:val="00A27FF6"/>
    <w:pPr>
      <w:widowControl/>
      <w:adjustRightInd/>
      <w:spacing w:line="240" w:lineRule="auto"/>
      <w:jc w:val="left"/>
    </w:pPr>
  </w:style>
  <w:style w:type="paragraph" w:styleId="Nagwek">
    <w:name w:val="header"/>
    <w:basedOn w:val="Normalny"/>
    <w:rsid w:val="00AB7E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B7EF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16E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D8720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D8720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D87200"/>
    <w:rPr>
      <w:vertAlign w:val="superscript"/>
    </w:rPr>
  </w:style>
  <w:style w:type="paragraph" w:styleId="Tekstdymka">
    <w:name w:val="Balloon Text"/>
    <w:basedOn w:val="Normalny"/>
    <w:link w:val="TekstdymkaZnak"/>
    <w:rsid w:val="00646F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46FD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75562"/>
    <w:rPr>
      <w:sz w:val="24"/>
      <w:szCs w:val="24"/>
    </w:rPr>
  </w:style>
  <w:style w:type="character" w:styleId="Odwoaniedokomentarza">
    <w:name w:val="annotation reference"/>
    <w:rsid w:val="008C48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C4844"/>
    <w:pPr>
      <w:widowControl/>
      <w:adjustRightInd/>
      <w:spacing w:line="240" w:lineRule="auto"/>
      <w:jc w:val="left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4844"/>
    <w:rPr>
      <w:rFonts w:ascii="Arial" w:hAnsi="Aria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rsid w:val="009B0928"/>
    <w:pPr>
      <w:widowControl/>
      <w:adjustRightInd/>
      <w:spacing w:line="240" w:lineRule="auto"/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9B0928"/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rsid w:val="002D0EC8"/>
    <w:rPr>
      <w:rFonts w:ascii="Verdana" w:hAnsi="Verdana" w:cs="Verdana"/>
      <w:color w:val="auto"/>
      <w:u w:val="none"/>
      <w:effect w:val="none"/>
    </w:rPr>
  </w:style>
  <w:style w:type="character" w:customStyle="1" w:styleId="StopkaZnak">
    <w:name w:val="Stopka Znak"/>
    <w:basedOn w:val="Domylnaczcionkaakapitu"/>
    <w:link w:val="Stopka"/>
    <w:uiPriority w:val="99"/>
    <w:rsid w:val="0067278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8261D"/>
    <w:pPr>
      <w:widowControl/>
      <w:adjustRightInd/>
      <w:spacing w:after="120" w:line="240" w:lineRule="auto"/>
      <w:jc w:val="left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58261D"/>
    <w:rPr>
      <w:rFonts w:ascii="Arial" w:hAnsi="Arial"/>
      <w:sz w:val="24"/>
      <w:szCs w:val="24"/>
    </w:rPr>
  </w:style>
  <w:style w:type="paragraph" w:customStyle="1" w:styleId="Default">
    <w:name w:val="Default"/>
    <w:rsid w:val="005945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f0">
    <w:name w:val="pf0"/>
    <w:basedOn w:val="Normalny"/>
    <w:rsid w:val="00997206"/>
    <w:pPr>
      <w:widowControl/>
      <w:adjustRightInd/>
      <w:spacing w:before="100" w:beforeAutospacing="1" w:after="100" w:afterAutospacing="1" w:line="240" w:lineRule="auto"/>
      <w:jc w:val="left"/>
    </w:pPr>
  </w:style>
  <w:style w:type="character" w:customStyle="1" w:styleId="cf01">
    <w:name w:val="cf01"/>
    <w:basedOn w:val="Domylnaczcionkaakapitu"/>
    <w:rsid w:val="0099720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987E3F"/>
    <w:rPr>
      <w:rFonts w:ascii="Segoe UI" w:hAnsi="Segoe UI" w:cs="Segoe UI" w:hint="default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5D63C1"/>
    <w:pPr>
      <w:widowControl w:val="0"/>
      <w:adjustRightInd w:val="0"/>
      <w:jc w:val="both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D63C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3937-8099-4877-A445-3C857BB1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1386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1/3</vt:lpstr>
    </vt:vector>
  </TitlesOfParts>
  <Company>UMWM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1/3</dc:title>
  <dc:subject/>
  <dc:creator>Marcin Pawlak</dc:creator>
  <cp:keywords/>
  <cp:lastModifiedBy>Podemska Aleksandra</cp:lastModifiedBy>
  <cp:revision>5</cp:revision>
  <cp:lastPrinted>2022-07-04T07:56:00Z</cp:lastPrinted>
  <dcterms:created xsi:type="dcterms:W3CDTF">2025-11-06T12:09:00Z</dcterms:created>
  <dcterms:modified xsi:type="dcterms:W3CDTF">2025-11-06T12:18:00Z</dcterms:modified>
</cp:coreProperties>
</file>