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EEDF1" w14:textId="2E253D2B" w:rsidR="006E610C" w:rsidRDefault="006E610C" w:rsidP="006E610C">
      <w:pPr>
        <w:spacing w:after="480"/>
        <w:ind w:left="5245"/>
      </w:pPr>
      <w:r w:rsidRPr="00E63470">
        <w:rPr>
          <w:rFonts w:cstheme="minorHAnsi"/>
          <w:szCs w:val="22"/>
        </w:rPr>
        <w:t xml:space="preserve">Załącznik nr 1 do </w:t>
      </w:r>
      <w:r w:rsidRPr="004114AA">
        <w:rPr>
          <w:rFonts w:cstheme="minorHAnsi"/>
          <w:szCs w:val="22"/>
        </w:rPr>
        <w:t xml:space="preserve">uchwały nr </w:t>
      </w:r>
      <w:r w:rsidR="004114AA" w:rsidRPr="004114AA">
        <w:rPr>
          <w:rFonts w:cstheme="minorHAnsi"/>
          <w:szCs w:val="22"/>
        </w:rPr>
        <w:t>1456/201</w:t>
      </w:r>
      <w:r w:rsidRPr="004114AA">
        <w:rPr>
          <w:rFonts w:cstheme="minorHAnsi"/>
          <w:szCs w:val="22"/>
        </w:rPr>
        <w:t>/26</w:t>
      </w:r>
      <w:r w:rsidRPr="00E63470">
        <w:rPr>
          <w:rFonts w:cstheme="minorHAnsi"/>
          <w:szCs w:val="22"/>
        </w:rPr>
        <w:t xml:space="preserve"> </w:t>
      </w:r>
      <w:r w:rsidRPr="00E63470">
        <w:rPr>
          <w:rFonts w:cstheme="minorHAnsi"/>
          <w:szCs w:val="22"/>
        </w:rPr>
        <w:br/>
        <w:t>Zarządu Województwa Mazowieckiego</w:t>
      </w:r>
      <w:r w:rsidRPr="00E63470">
        <w:rPr>
          <w:rFonts w:cstheme="minorHAnsi"/>
          <w:szCs w:val="22"/>
        </w:rPr>
        <w:br/>
        <w:t>z dnia</w:t>
      </w:r>
      <w:r w:rsidR="004114AA">
        <w:rPr>
          <w:rFonts w:cstheme="minorHAnsi"/>
          <w:szCs w:val="22"/>
        </w:rPr>
        <w:t xml:space="preserve"> 24 sierpnia </w:t>
      </w:r>
      <w:r w:rsidRPr="00E63470">
        <w:rPr>
          <w:rFonts w:cstheme="minorHAnsi"/>
          <w:szCs w:val="22"/>
        </w:rPr>
        <w:t>2026 r.</w:t>
      </w:r>
    </w:p>
    <w:p w14:paraId="27DB028F" w14:textId="6B26FA58" w:rsidR="008C42CA" w:rsidRDefault="00EA73AD">
      <w:pPr>
        <w:jc w:val="center"/>
      </w:pPr>
      <w:r>
        <w:t>Zarząd Województwa Mazowieckiego</w:t>
      </w:r>
    </w:p>
    <w:p w14:paraId="17FDED8F" w14:textId="77777777" w:rsidR="008C42CA" w:rsidRDefault="008C42CA">
      <w:pPr>
        <w:jc w:val="center"/>
        <w:rPr>
          <w:b/>
          <w:sz w:val="44"/>
        </w:rPr>
      </w:pPr>
    </w:p>
    <w:p w14:paraId="038F56FA" w14:textId="77777777" w:rsidR="008C42CA" w:rsidRDefault="008C42CA">
      <w:pPr>
        <w:jc w:val="center"/>
        <w:rPr>
          <w:b/>
          <w:sz w:val="44"/>
        </w:rPr>
      </w:pPr>
    </w:p>
    <w:p w14:paraId="2D0867FF" w14:textId="77777777" w:rsidR="008C42CA" w:rsidRDefault="008C42CA">
      <w:pPr>
        <w:jc w:val="center"/>
        <w:rPr>
          <w:b/>
          <w:sz w:val="44"/>
        </w:rPr>
      </w:pPr>
    </w:p>
    <w:p w14:paraId="368A7DCD" w14:textId="77777777" w:rsidR="008C42CA" w:rsidRDefault="00EA73AD">
      <w:pPr>
        <w:jc w:val="center"/>
        <w:rPr>
          <w:b/>
          <w:sz w:val="44"/>
        </w:rPr>
      </w:pPr>
      <w:r>
        <w:rPr>
          <w:b/>
          <w:sz w:val="44"/>
        </w:rPr>
        <w:t>Szczegółowy Opis Priorytetów</w:t>
      </w:r>
    </w:p>
    <w:p w14:paraId="7A08E4FB" w14:textId="77777777" w:rsidR="008C42CA" w:rsidRDefault="00EA73AD">
      <w:pPr>
        <w:jc w:val="center"/>
        <w:rPr>
          <w:b/>
          <w:sz w:val="44"/>
        </w:rPr>
      </w:pPr>
      <w:r>
        <w:rPr>
          <w:b/>
          <w:sz w:val="44"/>
        </w:rPr>
        <w:t>Programu</w:t>
      </w:r>
    </w:p>
    <w:p w14:paraId="42456446" w14:textId="77777777" w:rsidR="008C42CA" w:rsidRDefault="00EA73AD">
      <w:pPr>
        <w:jc w:val="center"/>
        <w:rPr>
          <w:b/>
          <w:sz w:val="44"/>
        </w:rPr>
      </w:pPr>
      <w:r>
        <w:rPr>
          <w:b/>
          <w:sz w:val="44"/>
        </w:rPr>
        <w:t>Fundusze Europejskie dla Mazowsza 2021-2027</w:t>
      </w:r>
    </w:p>
    <w:p w14:paraId="7B24AB44" w14:textId="77777777" w:rsidR="008C42CA" w:rsidRDefault="008C42CA">
      <w:pPr>
        <w:jc w:val="center"/>
        <w:rPr>
          <w:b/>
          <w:sz w:val="44"/>
        </w:rPr>
      </w:pPr>
    </w:p>
    <w:p w14:paraId="48CB47BD" w14:textId="1B5186DD" w:rsidR="008C42CA" w:rsidRDefault="008C42CA">
      <w:pPr>
        <w:jc w:val="center"/>
        <w:rPr>
          <w:b/>
          <w:sz w:val="44"/>
        </w:rPr>
      </w:pPr>
    </w:p>
    <w:p w14:paraId="398BF733" w14:textId="77777777" w:rsidR="008C42CA" w:rsidRDefault="008C42CA">
      <w:pPr>
        <w:jc w:val="center"/>
        <w:rPr>
          <w:b/>
          <w:sz w:val="44"/>
        </w:rPr>
      </w:pPr>
    </w:p>
    <w:p w14:paraId="49973BB0" w14:textId="77777777" w:rsidR="008C42CA" w:rsidRDefault="00EA73AD">
      <w:pPr>
        <w:jc w:val="center"/>
      </w:pPr>
      <w:r>
        <w:t>Wersja SZOP.FEMA.033</w:t>
      </w:r>
    </w:p>
    <w:p w14:paraId="4093D04A" w14:textId="101083A5" w:rsidR="008C42CA" w:rsidRDefault="00EA73AD" w:rsidP="006E610C">
      <w:pPr>
        <w:jc w:val="center"/>
      </w:pPr>
      <w:r>
        <w:t xml:space="preserve"> </w:t>
      </w:r>
    </w:p>
    <w:p w14:paraId="01AA80BA" w14:textId="77777777" w:rsidR="008C42CA" w:rsidRDefault="008C42CA">
      <w:pPr>
        <w:jc w:val="center"/>
        <w:rPr>
          <w:highlight w:val="yellow"/>
        </w:rPr>
      </w:pPr>
    </w:p>
    <w:p w14:paraId="2CC33322" w14:textId="767E920B" w:rsidR="008C42CA" w:rsidRDefault="005B42FE">
      <w:pPr>
        <w:rPr>
          <w:b/>
          <w:i/>
          <w:sz w:val="44"/>
          <w:highlight w:val="yellow"/>
        </w:rPr>
      </w:pPr>
      <w:r>
        <w:rPr>
          <w:noProof/>
        </w:rPr>
        <w:drawing>
          <wp:inline distT="0" distB="0" distL="0" distR="0" wp14:anchorId="70B5B2BE" wp14:editId="059721E2">
            <wp:extent cx="5925600" cy="547200"/>
            <wp:effectExtent l="0" t="0" r="0" b="5715"/>
            <wp:docPr id="1994361986" name="Obraz 1994361986"/>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6"/>
                    <a:stretch>
                      <a:fillRect/>
                    </a:stretch>
                  </pic:blipFill>
                  <pic:spPr>
                    <a:xfrm>
                      <a:off x="0" y="0"/>
                      <a:ext cx="5925600" cy="547200"/>
                    </a:xfrm>
                    <a:prstGeom prst="rect">
                      <a:avLst/>
                    </a:prstGeom>
                  </pic:spPr>
                </pic:pic>
              </a:graphicData>
            </a:graphic>
          </wp:inline>
        </w:drawing>
      </w:r>
    </w:p>
    <w:p w14:paraId="578D5E35" w14:textId="77777777" w:rsidR="008C42CA" w:rsidRDefault="00EA73AD">
      <w:pPr>
        <w:rPr>
          <w:b/>
          <w:i/>
          <w:sz w:val="44"/>
        </w:rPr>
      </w:pPr>
      <w:r>
        <w:br w:type="page"/>
      </w:r>
    </w:p>
    <w:p w14:paraId="6563F10E" w14:textId="77777777" w:rsidR="008C42CA" w:rsidRDefault="00EA73AD">
      <w:pPr>
        <w:pStyle w:val="Nagwekspisutreci"/>
        <w:rPr>
          <w:rFonts w:asciiTheme="minorHAnsi" w:hAnsiTheme="minorHAnsi" w:cs="Calibri"/>
          <w:b/>
          <w:color w:val="auto"/>
        </w:rPr>
      </w:pPr>
      <w:r>
        <w:rPr>
          <w:rFonts w:asciiTheme="minorHAnsi" w:hAnsiTheme="minorHAnsi" w:cs="Calibri"/>
          <w:b/>
          <w:color w:val="auto"/>
        </w:rPr>
        <w:lastRenderedPageBreak/>
        <w:t>Spis treści</w:t>
      </w:r>
    </w:p>
    <w:p w14:paraId="4623877E" w14:textId="77777777" w:rsidR="008C42CA" w:rsidRDefault="008C42CA">
      <w:pPr>
        <w:rPr>
          <w:b/>
        </w:rPr>
      </w:pPr>
    </w:p>
    <w:p w14:paraId="5C11CBB5" w14:textId="77777777" w:rsidR="008C42CA" w:rsidRDefault="008C42CA">
      <w:pPr>
        <w:rPr>
          <w:b/>
        </w:rPr>
      </w:pPr>
    </w:p>
    <w:p w14:paraId="31C0BDEA" w14:textId="162F1FDF" w:rsidR="005B42FE" w:rsidRDefault="00EA73AD">
      <w:pPr>
        <w:pStyle w:val="Spistreci1"/>
        <w:tabs>
          <w:tab w:val="right" w:leader="dot" w:pos="9396"/>
        </w:tabs>
        <w:rPr>
          <w:rFonts w:eastAsiaTheme="minorEastAsia" w:cstheme="minorBidi"/>
          <w:noProof/>
          <w:kern w:val="2"/>
          <w:sz w:val="24"/>
          <w:szCs w:val="24"/>
          <w14:ligatures w14:val="standardContextual"/>
        </w:rPr>
      </w:pPr>
      <w:r>
        <w:fldChar w:fldCharType="begin"/>
      </w:r>
      <w:r>
        <w:instrText>TOC \o "1-3" \h \z \u</w:instrText>
      </w:r>
      <w:r>
        <w:fldChar w:fldCharType="separate"/>
      </w:r>
      <w:hyperlink w:anchor="_Toc237347945" w:history="1">
        <w:r w:rsidR="005B42FE" w:rsidRPr="006B7E15">
          <w:rPr>
            <w:rStyle w:val="Hipercze"/>
            <w:rFonts w:ascii="Calibri" w:hAnsi="Calibri"/>
            <w:noProof/>
          </w:rPr>
          <w:t>I Informacje na temat Priorytetów i Działań</w:t>
        </w:r>
        <w:r w:rsidR="005B42FE">
          <w:rPr>
            <w:noProof/>
            <w:webHidden/>
          </w:rPr>
          <w:tab/>
        </w:r>
        <w:r w:rsidR="005B42FE">
          <w:rPr>
            <w:noProof/>
            <w:webHidden/>
          </w:rPr>
          <w:fldChar w:fldCharType="begin"/>
        </w:r>
        <w:r w:rsidR="005B42FE">
          <w:rPr>
            <w:noProof/>
            <w:webHidden/>
          </w:rPr>
          <w:instrText xml:space="preserve"> PAGEREF _Toc237347945 \h </w:instrText>
        </w:r>
        <w:r w:rsidR="005B42FE">
          <w:rPr>
            <w:noProof/>
            <w:webHidden/>
          </w:rPr>
        </w:r>
        <w:r w:rsidR="005B42FE">
          <w:rPr>
            <w:noProof/>
            <w:webHidden/>
          </w:rPr>
          <w:fldChar w:fldCharType="separate"/>
        </w:r>
        <w:r w:rsidR="00BE5864">
          <w:rPr>
            <w:noProof/>
            <w:webHidden/>
          </w:rPr>
          <w:t>6</w:t>
        </w:r>
        <w:r w:rsidR="005B42FE">
          <w:rPr>
            <w:noProof/>
            <w:webHidden/>
          </w:rPr>
          <w:fldChar w:fldCharType="end"/>
        </w:r>
      </w:hyperlink>
    </w:p>
    <w:p w14:paraId="4A4287B5" w14:textId="12E786FD"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7946" w:history="1">
        <w:r w:rsidRPr="006B7E15">
          <w:rPr>
            <w:rStyle w:val="Hipercze"/>
            <w:rFonts w:ascii="Calibri" w:hAnsi="Calibri"/>
            <w:noProof/>
          </w:rPr>
          <w:t>Priorytet FEMA.01 Fundusze Europejskie dla bardziej konkurencyjnego i inteligentnego Mazowsza</w:t>
        </w:r>
        <w:r>
          <w:rPr>
            <w:noProof/>
            <w:webHidden/>
          </w:rPr>
          <w:tab/>
        </w:r>
        <w:r>
          <w:rPr>
            <w:noProof/>
            <w:webHidden/>
          </w:rPr>
          <w:fldChar w:fldCharType="begin"/>
        </w:r>
        <w:r>
          <w:rPr>
            <w:noProof/>
            <w:webHidden/>
          </w:rPr>
          <w:instrText xml:space="preserve"> PAGEREF _Toc237347946 \h </w:instrText>
        </w:r>
        <w:r>
          <w:rPr>
            <w:noProof/>
            <w:webHidden/>
          </w:rPr>
        </w:r>
        <w:r>
          <w:rPr>
            <w:noProof/>
            <w:webHidden/>
          </w:rPr>
          <w:fldChar w:fldCharType="separate"/>
        </w:r>
        <w:r w:rsidR="00BE5864">
          <w:rPr>
            <w:noProof/>
            <w:webHidden/>
          </w:rPr>
          <w:t>6</w:t>
        </w:r>
        <w:r>
          <w:rPr>
            <w:noProof/>
            <w:webHidden/>
          </w:rPr>
          <w:fldChar w:fldCharType="end"/>
        </w:r>
      </w:hyperlink>
    </w:p>
    <w:p w14:paraId="755D1274" w14:textId="33323D33"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47" w:history="1">
        <w:r w:rsidRPr="006B7E15">
          <w:rPr>
            <w:rStyle w:val="Hipercze"/>
            <w:rFonts w:ascii="Calibri" w:hAnsi="Calibri"/>
            <w:noProof/>
          </w:rPr>
          <w:t>Działanie FEMA.01.01 Badania, rozwój i innowacje przedsiębiorstw</w:t>
        </w:r>
        <w:r>
          <w:rPr>
            <w:noProof/>
            <w:webHidden/>
          </w:rPr>
          <w:tab/>
        </w:r>
        <w:r>
          <w:rPr>
            <w:noProof/>
            <w:webHidden/>
          </w:rPr>
          <w:fldChar w:fldCharType="begin"/>
        </w:r>
        <w:r>
          <w:rPr>
            <w:noProof/>
            <w:webHidden/>
          </w:rPr>
          <w:instrText xml:space="preserve"> PAGEREF _Toc237347947 \h </w:instrText>
        </w:r>
        <w:r>
          <w:rPr>
            <w:noProof/>
            <w:webHidden/>
          </w:rPr>
        </w:r>
        <w:r>
          <w:rPr>
            <w:noProof/>
            <w:webHidden/>
          </w:rPr>
          <w:fldChar w:fldCharType="separate"/>
        </w:r>
        <w:r w:rsidR="00BE5864">
          <w:rPr>
            <w:noProof/>
            <w:webHidden/>
          </w:rPr>
          <w:t>7</w:t>
        </w:r>
        <w:r>
          <w:rPr>
            <w:noProof/>
            <w:webHidden/>
          </w:rPr>
          <w:fldChar w:fldCharType="end"/>
        </w:r>
      </w:hyperlink>
    </w:p>
    <w:p w14:paraId="0E99D4F8" w14:textId="71860712"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48" w:history="1">
        <w:r w:rsidRPr="006B7E15">
          <w:rPr>
            <w:rStyle w:val="Hipercze"/>
            <w:rFonts w:ascii="Calibri" w:hAnsi="Calibri"/>
            <w:noProof/>
          </w:rPr>
          <w:t>Działanie FEMA.01.02 E-usługi</w:t>
        </w:r>
        <w:r>
          <w:rPr>
            <w:noProof/>
            <w:webHidden/>
          </w:rPr>
          <w:tab/>
        </w:r>
        <w:r>
          <w:rPr>
            <w:noProof/>
            <w:webHidden/>
          </w:rPr>
          <w:fldChar w:fldCharType="begin"/>
        </w:r>
        <w:r>
          <w:rPr>
            <w:noProof/>
            <w:webHidden/>
          </w:rPr>
          <w:instrText xml:space="preserve"> PAGEREF _Toc237347948 \h </w:instrText>
        </w:r>
        <w:r>
          <w:rPr>
            <w:noProof/>
            <w:webHidden/>
          </w:rPr>
        </w:r>
        <w:r>
          <w:rPr>
            <w:noProof/>
            <w:webHidden/>
          </w:rPr>
          <w:fldChar w:fldCharType="separate"/>
        </w:r>
        <w:r w:rsidR="00BE5864">
          <w:rPr>
            <w:noProof/>
            <w:webHidden/>
          </w:rPr>
          <w:t>13</w:t>
        </w:r>
        <w:r>
          <w:rPr>
            <w:noProof/>
            <w:webHidden/>
          </w:rPr>
          <w:fldChar w:fldCharType="end"/>
        </w:r>
      </w:hyperlink>
    </w:p>
    <w:p w14:paraId="3E8BE611" w14:textId="0B7687B3"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49" w:history="1">
        <w:r w:rsidRPr="006B7E15">
          <w:rPr>
            <w:rStyle w:val="Hipercze"/>
            <w:rFonts w:ascii="Calibri" w:hAnsi="Calibri"/>
            <w:noProof/>
          </w:rPr>
          <w:t>Działanie FEMA.01.03 Innowacyjność i konkurencyjność MŚP</w:t>
        </w:r>
        <w:r>
          <w:rPr>
            <w:noProof/>
            <w:webHidden/>
          </w:rPr>
          <w:tab/>
        </w:r>
        <w:r>
          <w:rPr>
            <w:noProof/>
            <w:webHidden/>
          </w:rPr>
          <w:fldChar w:fldCharType="begin"/>
        </w:r>
        <w:r>
          <w:rPr>
            <w:noProof/>
            <w:webHidden/>
          </w:rPr>
          <w:instrText xml:space="preserve"> PAGEREF _Toc237347949 \h </w:instrText>
        </w:r>
        <w:r>
          <w:rPr>
            <w:noProof/>
            <w:webHidden/>
          </w:rPr>
        </w:r>
        <w:r>
          <w:rPr>
            <w:noProof/>
            <w:webHidden/>
          </w:rPr>
          <w:fldChar w:fldCharType="separate"/>
        </w:r>
        <w:r w:rsidR="00BE5864">
          <w:rPr>
            <w:noProof/>
            <w:webHidden/>
          </w:rPr>
          <w:t>19</w:t>
        </w:r>
        <w:r>
          <w:rPr>
            <w:noProof/>
            <w:webHidden/>
          </w:rPr>
          <w:fldChar w:fldCharType="end"/>
        </w:r>
      </w:hyperlink>
    </w:p>
    <w:p w14:paraId="1805E7F4" w14:textId="7094115E"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7950" w:history="1">
        <w:r w:rsidRPr="006B7E15">
          <w:rPr>
            <w:rStyle w:val="Hipercze"/>
            <w:rFonts w:ascii="Calibri" w:hAnsi="Calibri"/>
            <w:noProof/>
          </w:rPr>
          <w:t>Priorytet FEMA.02 Fundusze Europejskie na zielony rozwój Mazowsza</w:t>
        </w:r>
        <w:r>
          <w:rPr>
            <w:noProof/>
            <w:webHidden/>
          </w:rPr>
          <w:tab/>
        </w:r>
        <w:r>
          <w:rPr>
            <w:noProof/>
            <w:webHidden/>
          </w:rPr>
          <w:fldChar w:fldCharType="begin"/>
        </w:r>
        <w:r>
          <w:rPr>
            <w:noProof/>
            <w:webHidden/>
          </w:rPr>
          <w:instrText xml:space="preserve"> PAGEREF _Toc237347950 \h </w:instrText>
        </w:r>
        <w:r>
          <w:rPr>
            <w:noProof/>
            <w:webHidden/>
          </w:rPr>
        </w:r>
        <w:r>
          <w:rPr>
            <w:noProof/>
            <w:webHidden/>
          </w:rPr>
          <w:fldChar w:fldCharType="separate"/>
        </w:r>
        <w:r w:rsidR="00BE5864">
          <w:rPr>
            <w:noProof/>
            <w:webHidden/>
          </w:rPr>
          <w:t>25</w:t>
        </w:r>
        <w:r>
          <w:rPr>
            <w:noProof/>
            <w:webHidden/>
          </w:rPr>
          <w:fldChar w:fldCharType="end"/>
        </w:r>
      </w:hyperlink>
    </w:p>
    <w:p w14:paraId="35A043F3" w14:textId="19DF02A1"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51" w:history="1">
        <w:r w:rsidRPr="006B7E15">
          <w:rPr>
            <w:rStyle w:val="Hipercze"/>
            <w:rFonts w:ascii="Calibri" w:hAnsi="Calibri"/>
            <w:noProof/>
          </w:rPr>
          <w:t>Działanie FEMA.02.01 Efektywność energetyczna</w:t>
        </w:r>
        <w:r>
          <w:rPr>
            <w:noProof/>
            <w:webHidden/>
          </w:rPr>
          <w:tab/>
        </w:r>
        <w:r>
          <w:rPr>
            <w:noProof/>
            <w:webHidden/>
          </w:rPr>
          <w:fldChar w:fldCharType="begin"/>
        </w:r>
        <w:r>
          <w:rPr>
            <w:noProof/>
            <w:webHidden/>
          </w:rPr>
          <w:instrText xml:space="preserve"> PAGEREF _Toc237347951 \h </w:instrText>
        </w:r>
        <w:r>
          <w:rPr>
            <w:noProof/>
            <w:webHidden/>
          </w:rPr>
        </w:r>
        <w:r>
          <w:rPr>
            <w:noProof/>
            <w:webHidden/>
          </w:rPr>
          <w:fldChar w:fldCharType="separate"/>
        </w:r>
        <w:r w:rsidR="00BE5864">
          <w:rPr>
            <w:noProof/>
            <w:webHidden/>
          </w:rPr>
          <w:t>26</w:t>
        </w:r>
        <w:r>
          <w:rPr>
            <w:noProof/>
            <w:webHidden/>
          </w:rPr>
          <w:fldChar w:fldCharType="end"/>
        </w:r>
      </w:hyperlink>
    </w:p>
    <w:p w14:paraId="605B7F9E" w14:textId="03B1899D"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52" w:history="1">
        <w:r w:rsidRPr="006B7E15">
          <w:rPr>
            <w:rStyle w:val="Hipercze"/>
            <w:rFonts w:ascii="Calibri" w:hAnsi="Calibri"/>
            <w:noProof/>
          </w:rPr>
          <w:t>Działanie FEMA.02.02 Efektywność energetyczna w ZIT</w:t>
        </w:r>
        <w:r>
          <w:rPr>
            <w:noProof/>
            <w:webHidden/>
          </w:rPr>
          <w:tab/>
        </w:r>
        <w:r>
          <w:rPr>
            <w:noProof/>
            <w:webHidden/>
          </w:rPr>
          <w:fldChar w:fldCharType="begin"/>
        </w:r>
        <w:r>
          <w:rPr>
            <w:noProof/>
            <w:webHidden/>
          </w:rPr>
          <w:instrText xml:space="preserve"> PAGEREF _Toc237347952 \h </w:instrText>
        </w:r>
        <w:r>
          <w:rPr>
            <w:noProof/>
            <w:webHidden/>
          </w:rPr>
        </w:r>
        <w:r>
          <w:rPr>
            <w:noProof/>
            <w:webHidden/>
          </w:rPr>
          <w:fldChar w:fldCharType="separate"/>
        </w:r>
        <w:r w:rsidR="00BE5864">
          <w:rPr>
            <w:noProof/>
            <w:webHidden/>
          </w:rPr>
          <w:t>32</w:t>
        </w:r>
        <w:r>
          <w:rPr>
            <w:noProof/>
            <w:webHidden/>
          </w:rPr>
          <w:fldChar w:fldCharType="end"/>
        </w:r>
      </w:hyperlink>
    </w:p>
    <w:p w14:paraId="313BAF09" w14:textId="3E085BAA"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53" w:history="1">
        <w:r w:rsidRPr="006B7E15">
          <w:rPr>
            <w:rStyle w:val="Hipercze"/>
            <w:rFonts w:ascii="Calibri" w:hAnsi="Calibri"/>
            <w:noProof/>
          </w:rPr>
          <w:t>Działanie FEMA.02.03 Odnawialne źródła energii</w:t>
        </w:r>
        <w:r>
          <w:rPr>
            <w:noProof/>
            <w:webHidden/>
          </w:rPr>
          <w:tab/>
        </w:r>
        <w:r>
          <w:rPr>
            <w:noProof/>
            <w:webHidden/>
          </w:rPr>
          <w:fldChar w:fldCharType="begin"/>
        </w:r>
        <w:r>
          <w:rPr>
            <w:noProof/>
            <w:webHidden/>
          </w:rPr>
          <w:instrText xml:space="preserve"> PAGEREF _Toc237347953 \h </w:instrText>
        </w:r>
        <w:r>
          <w:rPr>
            <w:noProof/>
            <w:webHidden/>
          </w:rPr>
        </w:r>
        <w:r>
          <w:rPr>
            <w:noProof/>
            <w:webHidden/>
          </w:rPr>
          <w:fldChar w:fldCharType="separate"/>
        </w:r>
        <w:r w:rsidR="00BE5864">
          <w:rPr>
            <w:noProof/>
            <w:webHidden/>
          </w:rPr>
          <w:t>37</w:t>
        </w:r>
        <w:r>
          <w:rPr>
            <w:noProof/>
            <w:webHidden/>
          </w:rPr>
          <w:fldChar w:fldCharType="end"/>
        </w:r>
      </w:hyperlink>
    </w:p>
    <w:p w14:paraId="59B6AF8E" w14:textId="2938F661"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54" w:history="1">
        <w:r w:rsidRPr="006B7E15">
          <w:rPr>
            <w:rStyle w:val="Hipercze"/>
            <w:rFonts w:ascii="Calibri" w:hAnsi="Calibri"/>
            <w:noProof/>
          </w:rPr>
          <w:t>Działanie FEMA.02.04 Dostosowanie do zmian klimatu</w:t>
        </w:r>
        <w:r>
          <w:rPr>
            <w:noProof/>
            <w:webHidden/>
          </w:rPr>
          <w:tab/>
        </w:r>
        <w:r>
          <w:rPr>
            <w:noProof/>
            <w:webHidden/>
          </w:rPr>
          <w:fldChar w:fldCharType="begin"/>
        </w:r>
        <w:r>
          <w:rPr>
            <w:noProof/>
            <w:webHidden/>
          </w:rPr>
          <w:instrText xml:space="preserve"> PAGEREF _Toc237347954 \h </w:instrText>
        </w:r>
        <w:r>
          <w:rPr>
            <w:noProof/>
            <w:webHidden/>
          </w:rPr>
        </w:r>
        <w:r>
          <w:rPr>
            <w:noProof/>
            <w:webHidden/>
          </w:rPr>
          <w:fldChar w:fldCharType="separate"/>
        </w:r>
        <w:r w:rsidR="00BE5864">
          <w:rPr>
            <w:noProof/>
            <w:webHidden/>
          </w:rPr>
          <w:t>41</w:t>
        </w:r>
        <w:r>
          <w:rPr>
            <w:noProof/>
            <w:webHidden/>
          </w:rPr>
          <w:fldChar w:fldCharType="end"/>
        </w:r>
      </w:hyperlink>
    </w:p>
    <w:p w14:paraId="5079B8C5" w14:textId="786EF605"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55" w:history="1">
        <w:r w:rsidRPr="006B7E15">
          <w:rPr>
            <w:rStyle w:val="Hipercze"/>
            <w:rFonts w:ascii="Calibri" w:hAnsi="Calibri"/>
            <w:noProof/>
          </w:rPr>
          <w:t>Działanie FEMA.02.05 Gospodarka wodno-ściekowa</w:t>
        </w:r>
        <w:r>
          <w:rPr>
            <w:noProof/>
            <w:webHidden/>
          </w:rPr>
          <w:tab/>
        </w:r>
        <w:r>
          <w:rPr>
            <w:noProof/>
            <w:webHidden/>
          </w:rPr>
          <w:fldChar w:fldCharType="begin"/>
        </w:r>
        <w:r>
          <w:rPr>
            <w:noProof/>
            <w:webHidden/>
          </w:rPr>
          <w:instrText xml:space="preserve"> PAGEREF _Toc237347955 \h </w:instrText>
        </w:r>
        <w:r>
          <w:rPr>
            <w:noProof/>
            <w:webHidden/>
          </w:rPr>
        </w:r>
        <w:r>
          <w:rPr>
            <w:noProof/>
            <w:webHidden/>
          </w:rPr>
          <w:fldChar w:fldCharType="separate"/>
        </w:r>
        <w:r w:rsidR="00BE5864">
          <w:rPr>
            <w:noProof/>
            <w:webHidden/>
          </w:rPr>
          <w:t>47</w:t>
        </w:r>
        <w:r>
          <w:rPr>
            <w:noProof/>
            <w:webHidden/>
          </w:rPr>
          <w:fldChar w:fldCharType="end"/>
        </w:r>
      </w:hyperlink>
    </w:p>
    <w:p w14:paraId="68B243C4" w14:textId="39931385"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56" w:history="1">
        <w:r w:rsidRPr="006B7E15">
          <w:rPr>
            <w:rStyle w:val="Hipercze"/>
            <w:rFonts w:ascii="Calibri" w:hAnsi="Calibri"/>
            <w:noProof/>
          </w:rPr>
          <w:t>Działanie FEMA.02.06 Gospodarka o obiegu zamkniętym</w:t>
        </w:r>
        <w:r>
          <w:rPr>
            <w:noProof/>
            <w:webHidden/>
          </w:rPr>
          <w:tab/>
        </w:r>
        <w:r>
          <w:rPr>
            <w:noProof/>
            <w:webHidden/>
          </w:rPr>
          <w:fldChar w:fldCharType="begin"/>
        </w:r>
        <w:r>
          <w:rPr>
            <w:noProof/>
            <w:webHidden/>
          </w:rPr>
          <w:instrText xml:space="preserve"> PAGEREF _Toc237347956 \h </w:instrText>
        </w:r>
        <w:r>
          <w:rPr>
            <w:noProof/>
            <w:webHidden/>
          </w:rPr>
        </w:r>
        <w:r>
          <w:rPr>
            <w:noProof/>
            <w:webHidden/>
          </w:rPr>
          <w:fldChar w:fldCharType="separate"/>
        </w:r>
        <w:r w:rsidR="00BE5864">
          <w:rPr>
            <w:noProof/>
            <w:webHidden/>
          </w:rPr>
          <w:t>53</w:t>
        </w:r>
        <w:r>
          <w:rPr>
            <w:noProof/>
            <w:webHidden/>
          </w:rPr>
          <w:fldChar w:fldCharType="end"/>
        </w:r>
      </w:hyperlink>
    </w:p>
    <w:p w14:paraId="19DEAD1E" w14:textId="19E7E411"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57" w:history="1">
        <w:r w:rsidRPr="006B7E15">
          <w:rPr>
            <w:rStyle w:val="Hipercze"/>
            <w:rFonts w:ascii="Calibri" w:hAnsi="Calibri"/>
            <w:noProof/>
          </w:rPr>
          <w:t>Działanie FEMA.02.07 Bioróżnorodność</w:t>
        </w:r>
        <w:r>
          <w:rPr>
            <w:noProof/>
            <w:webHidden/>
          </w:rPr>
          <w:tab/>
        </w:r>
        <w:r>
          <w:rPr>
            <w:noProof/>
            <w:webHidden/>
          </w:rPr>
          <w:fldChar w:fldCharType="begin"/>
        </w:r>
        <w:r>
          <w:rPr>
            <w:noProof/>
            <w:webHidden/>
          </w:rPr>
          <w:instrText xml:space="preserve"> PAGEREF _Toc237347957 \h </w:instrText>
        </w:r>
        <w:r>
          <w:rPr>
            <w:noProof/>
            <w:webHidden/>
          </w:rPr>
        </w:r>
        <w:r>
          <w:rPr>
            <w:noProof/>
            <w:webHidden/>
          </w:rPr>
          <w:fldChar w:fldCharType="separate"/>
        </w:r>
        <w:r w:rsidR="00BE5864">
          <w:rPr>
            <w:noProof/>
            <w:webHidden/>
          </w:rPr>
          <w:t>59</w:t>
        </w:r>
        <w:r>
          <w:rPr>
            <w:noProof/>
            <w:webHidden/>
          </w:rPr>
          <w:fldChar w:fldCharType="end"/>
        </w:r>
      </w:hyperlink>
    </w:p>
    <w:p w14:paraId="0EA4157E" w14:textId="3D9D60F5"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7958" w:history="1">
        <w:r w:rsidRPr="006B7E15">
          <w:rPr>
            <w:rStyle w:val="Hipercze"/>
            <w:rFonts w:ascii="Calibri" w:hAnsi="Calibri"/>
            <w:noProof/>
          </w:rPr>
          <w:t>Priorytet FEMA.03 Fundusze Europejskie na rozwój mobilności miejskiej na Mazowszu</w:t>
        </w:r>
        <w:r>
          <w:rPr>
            <w:noProof/>
            <w:webHidden/>
          </w:rPr>
          <w:tab/>
        </w:r>
        <w:r>
          <w:rPr>
            <w:noProof/>
            <w:webHidden/>
          </w:rPr>
          <w:fldChar w:fldCharType="begin"/>
        </w:r>
        <w:r>
          <w:rPr>
            <w:noProof/>
            <w:webHidden/>
          </w:rPr>
          <w:instrText xml:space="preserve"> PAGEREF _Toc237347958 \h </w:instrText>
        </w:r>
        <w:r>
          <w:rPr>
            <w:noProof/>
            <w:webHidden/>
          </w:rPr>
        </w:r>
        <w:r>
          <w:rPr>
            <w:noProof/>
            <w:webHidden/>
          </w:rPr>
          <w:fldChar w:fldCharType="separate"/>
        </w:r>
        <w:r w:rsidR="00BE5864">
          <w:rPr>
            <w:noProof/>
            <w:webHidden/>
          </w:rPr>
          <w:t>65</w:t>
        </w:r>
        <w:r>
          <w:rPr>
            <w:noProof/>
            <w:webHidden/>
          </w:rPr>
          <w:fldChar w:fldCharType="end"/>
        </w:r>
      </w:hyperlink>
    </w:p>
    <w:p w14:paraId="47D94216" w14:textId="0CC5AC9D"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59" w:history="1">
        <w:r w:rsidRPr="006B7E15">
          <w:rPr>
            <w:rStyle w:val="Hipercze"/>
            <w:rFonts w:ascii="Calibri" w:hAnsi="Calibri"/>
            <w:noProof/>
          </w:rPr>
          <w:t>Działanie FEMA.03.01 Mobilność miejska</w:t>
        </w:r>
        <w:r>
          <w:rPr>
            <w:noProof/>
            <w:webHidden/>
          </w:rPr>
          <w:tab/>
        </w:r>
        <w:r>
          <w:rPr>
            <w:noProof/>
            <w:webHidden/>
          </w:rPr>
          <w:fldChar w:fldCharType="begin"/>
        </w:r>
        <w:r>
          <w:rPr>
            <w:noProof/>
            <w:webHidden/>
          </w:rPr>
          <w:instrText xml:space="preserve"> PAGEREF _Toc237347959 \h </w:instrText>
        </w:r>
        <w:r>
          <w:rPr>
            <w:noProof/>
            <w:webHidden/>
          </w:rPr>
        </w:r>
        <w:r>
          <w:rPr>
            <w:noProof/>
            <w:webHidden/>
          </w:rPr>
          <w:fldChar w:fldCharType="separate"/>
        </w:r>
        <w:r w:rsidR="00BE5864">
          <w:rPr>
            <w:noProof/>
            <w:webHidden/>
          </w:rPr>
          <w:t>66</w:t>
        </w:r>
        <w:r>
          <w:rPr>
            <w:noProof/>
            <w:webHidden/>
          </w:rPr>
          <w:fldChar w:fldCharType="end"/>
        </w:r>
      </w:hyperlink>
    </w:p>
    <w:p w14:paraId="74C9327C" w14:textId="21078D63"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60" w:history="1">
        <w:r w:rsidRPr="006B7E15">
          <w:rPr>
            <w:rStyle w:val="Hipercze"/>
            <w:rFonts w:ascii="Calibri" w:hAnsi="Calibri"/>
            <w:noProof/>
          </w:rPr>
          <w:t>Działanie FEMA.03.02 Mobilność miejska w ZIT</w:t>
        </w:r>
        <w:r>
          <w:rPr>
            <w:noProof/>
            <w:webHidden/>
          </w:rPr>
          <w:tab/>
        </w:r>
        <w:r>
          <w:rPr>
            <w:noProof/>
            <w:webHidden/>
          </w:rPr>
          <w:fldChar w:fldCharType="begin"/>
        </w:r>
        <w:r>
          <w:rPr>
            <w:noProof/>
            <w:webHidden/>
          </w:rPr>
          <w:instrText xml:space="preserve"> PAGEREF _Toc237347960 \h </w:instrText>
        </w:r>
        <w:r>
          <w:rPr>
            <w:noProof/>
            <w:webHidden/>
          </w:rPr>
        </w:r>
        <w:r>
          <w:rPr>
            <w:noProof/>
            <w:webHidden/>
          </w:rPr>
          <w:fldChar w:fldCharType="separate"/>
        </w:r>
        <w:r w:rsidR="00BE5864">
          <w:rPr>
            <w:noProof/>
            <w:webHidden/>
          </w:rPr>
          <w:t>72</w:t>
        </w:r>
        <w:r>
          <w:rPr>
            <w:noProof/>
            <w:webHidden/>
          </w:rPr>
          <w:fldChar w:fldCharType="end"/>
        </w:r>
      </w:hyperlink>
    </w:p>
    <w:p w14:paraId="65A2BFD9" w14:textId="068BBD49"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7961" w:history="1">
        <w:r w:rsidRPr="006B7E15">
          <w:rPr>
            <w:rStyle w:val="Hipercze"/>
            <w:rFonts w:ascii="Calibri" w:hAnsi="Calibri"/>
            <w:noProof/>
          </w:rPr>
          <w:t>Priorytet FEMA.04 Fundusze Europejskie dla lepiej połączonego i dostępnego Mazowsza</w:t>
        </w:r>
        <w:r>
          <w:rPr>
            <w:noProof/>
            <w:webHidden/>
          </w:rPr>
          <w:tab/>
        </w:r>
        <w:r>
          <w:rPr>
            <w:noProof/>
            <w:webHidden/>
          </w:rPr>
          <w:fldChar w:fldCharType="begin"/>
        </w:r>
        <w:r>
          <w:rPr>
            <w:noProof/>
            <w:webHidden/>
          </w:rPr>
          <w:instrText xml:space="preserve"> PAGEREF _Toc237347961 \h </w:instrText>
        </w:r>
        <w:r>
          <w:rPr>
            <w:noProof/>
            <w:webHidden/>
          </w:rPr>
        </w:r>
        <w:r>
          <w:rPr>
            <w:noProof/>
            <w:webHidden/>
          </w:rPr>
          <w:fldChar w:fldCharType="separate"/>
        </w:r>
        <w:r w:rsidR="00BE5864">
          <w:rPr>
            <w:noProof/>
            <w:webHidden/>
          </w:rPr>
          <w:t>77</w:t>
        </w:r>
        <w:r>
          <w:rPr>
            <w:noProof/>
            <w:webHidden/>
          </w:rPr>
          <w:fldChar w:fldCharType="end"/>
        </w:r>
      </w:hyperlink>
    </w:p>
    <w:p w14:paraId="2FA6CAF7" w14:textId="390E653A"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62" w:history="1">
        <w:r w:rsidRPr="006B7E15">
          <w:rPr>
            <w:rStyle w:val="Hipercze"/>
            <w:rFonts w:ascii="Calibri" w:hAnsi="Calibri"/>
            <w:noProof/>
          </w:rPr>
          <w:t>Działanie FEMA.04.01 Transport regionalny i lokalny</w:t>
        </w:r>
        <w:r>
          <w:rPr>
            <w:noProof/>
            <w:webHidden/>
          </w:rPr>
          <w:tab/>
        </w:r>
        <w:r>
          <w:rPr>
            <w:noProof/>
            <w:webHidden/>
          </w:rPr>
          <w:fldChar w:fldCharType="begin"/>
        </w:r>
        <w:r>
          <w:rPr>
            <w:noProof/>
            <w:webHidden/>
          </w:rPr>
          <w:instrText xml:space="preserve"> PAGEREF _Toc237347962 \h </w:instrText>
        </w:r>
        <w:r>
          <w:rPr>
            <w:noProof/>
            <w:webHidden/>
          </w:rPr>
        </w:r>
        <w:r>
          <w:rPr>
            <w:noProof/>
            <w:webHidden/>
          </w:rPr>
          <w:fldChar w:fldCharType="separate"/>
        </w:r>
        <w:r w:rsidR="00BE5864">
          <w:rPr>
            <w:noProof/>
            <w:webHidden/>
          </w:rPr>
          <w:t>77</w:t>
        </w:r>
        <w:r>
          <w:rPr>
            <w:noProof/>
            <w:webHidden/>
          </w:rPr>
          <w:fldChar w:fldCharType="end"/>
        </w:r>
      </w:hyperlink>
    </w:p>
    <w:p w14:paraId="2CC5251F" w14:textId="2434CFE4"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7963" w:history="1">
        <w:r w:rsidRPr="006B7E15">
          <w:rPr>
            <w:rStyle w:val="Hipercze"/>
            <w:rFonts w:ascii="Calibri" w:hAnsi="Calibri"/>
            <w:noProof/>
          </w:rPr>
          <w:t>Priorytet FEMA.05 Fundusze Europejskie dla wyższej jakości życia na Mazowszu</w:t>
        </w:r>
        <w:r>
          <w:rPr>
            <w:noProof/>
            <w:webHidden/>
          </w:rPr>
          <w:tab/>
        </w:r>
        <w:r>
          <w:rPr>
            <w:noProof/>
            <w:webHidden/>
          </w:rPr>
          <w:fldChar w:fldCharType="begin"/>
        </w:r>
        <w:r>
          <w:rPr>
            <w:noProof/>
            <w:webHidden/>
          </w:rPr>
          <w:instrText xml:space="preserve"> PAGEREF _Toc237347963 \h </w:instrText>
        </w:r>
        <w:r>
          <w:rPr>
            <w:noProof/>
            <w:webHidden/>
          </w:rPr>
        </w:r>
        <w:r>
          <w:rPr>
            <w:noProof/>
            <w:webHidden/>
          </w:rPr>
          <w:fldChar w:fldCharType="separate"/>
        </w:r>
        <w:r w:rsidR="00BE5864">
          <w:rPr>
            <w:noProof/>
            <w:webHidden/>
          </w:rPr>
          <w:t>83</w:t>
        </w:r>
        <w:r>
          <w:rPr>
            <w:noProof/>
            <w:webHidden/>
          </w:rPr>
          <w:fldChar w:fldCharType="end"/>
        </w:r>
      </w:hyperlink>
    </w:p>
    <w:p w14:paraId="222DE35D" w14:textId="7713BFC3"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64" w:history="1">
        <w:r w:rsidRPr="006B7E15">
          <w:rPr>
            <w:rStyle w:val="Hipercze"/>
            <w:rFonts w:ascii="Calibri" w:hAnsi="Calibri"/>
            <w:noProof/>
          </w:rPr>
          <w:t>Działanie FEMA.05.01 Dostępność szkół dla osób ze specjalnymi potrzebami</w:t>
        </w:r>
        <w:r>
          <w:rPr>
            <w:noProof/>
            <w:webHidden/>
          </w:rPr>
          <w:tab/>
        </w:r>
        <w:r>
          <w:rPr>
            <w:noProof/>
            <w:webHidden/>
          </w:rPr>
          <w:fldChar w:fldCharType="begin"/>
        </w:r>
        <w:r>
          <w:rPr>
            <w:noProof/>
            <w:webHidden/>
          </w:rPr>
          <w:instrText xml:space="preserve"> PAGEREF _Toc237347964 \h </w:instrText>
        </w:r>
        <w:r>
          <w:rPr>
            <w:noProof/>
            <w:webHidden/>
          </w:rPr>
        </w:r>
        <w:r>
          <w:rPr>
            <w:noProof/>
            <w:webHidden/>
          </w:rPr>
          <w:fldChar w:fldCharType="separate"/>
        </w:r>
        <w:r w:rsidR="00BE5864">
          <w:rPr>
            <w:noProof/>
            <w:webHidden/>
          </w:rPr>
          <w:t>84</w:t>
        </w:r>
        <w:r>
          <w:rPr>
            <w:noProof/>
            <w:webHidden/>
          </w:rPr>
          <w:fldChar w:fldCharType="end"/>
        </w:r>
      </w:hyperlink>
    </w:p>
    <w:p w14:paraId="55783D1A" w14:textId="0C246D52"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65" w:history="1">
        <w:r w:rsidRPr="006B7E15">
          <w:rPr>
            <w:rStyle w:val="Hipercze"/>
            <w:rFonts w:ascii="Calibri" w:hAnsi="Calibri"/>
            <w:noProof/>
          </w:rPr>
          <w:t>Działanie FEMA.05.02 Dostępność szkół dla osób ze specjalnymi potrzebami w ZIT</w:t>
        </w:r>
        <w:r>
          <w:rPr>
            <w:noProof/>
            <w:webHidden/>
          </w:rPr>
          <w:tab/>
        </w:r>
        <w:r>
          <w:rPr>
            <w:noProof/>
            <w:webHidden/>
          </w:rPr>
          <w:fldChar w:fldCharType="begin"/>
        </w:r>
        <w:r>
          <w:rPr>
            <w:noProof/>
            <w:webHidden/>
          </w:rPr>
          <w:instrText xml:space="preserve"> PAGEREF _Toc237347965 \h </w:instrText>
        </w:r>
        <w:r>
          <w:rPr>
            <w:noProof/>
            <w:webHidden/>
          </w:rPr>
        </w:r>
        <w:r>
          <w:rPr>
            <w:noProof/>
            <w:webHidden/>
          </w:rPr>
          <w:fldChar w:fldCharType="separate"/>
        </w:r>
        <w:r w:rsidR="00BE5864">
          <w:rPr>
            <w:noProof/>
            <w:webHidden/>
          </w:rPr>
          <w:t>88</w:t>
        </w:r>
        <w:r>
          <w:rPr>
            <w:noProof/>
            <w:webHidden/>
          </w:rPr>
          <w:fldChar w:fldCharType="end"/>
        </w:r>
      </w:hyperlink>
    </w:p>
    <w:p w14:paraId="00CCF1E1" w14:textId="49E2DE81"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66" w:history="1">
        <w:r w:rsidRPr="006B7E15">
          <w:rPr>
            <w:rStyle w:val="Hipercze"/>
            <w:rFonts w:ascii="Calibri" w:hAnsi="Calibri"/>
            <w:noProof/>
          </w:rPr>
          <w:t>Działanie FEMA.05.03 Infrastruktura w edukacji zawodowej</w:t>
        </w:r>
        <w:r>
          <w:rPr>
            <w:noProof/>
            <w:webHidden/>
          </w:rPr>
          <w:tab/>
        </w:r>
        <w:r>
          <w:rPr>
            <w:noProof/>
            <w:webHidden/>
          </w:rPr>
          <w:fldChar w:fldCharType="begin"/>
        </w:r>
        <w:r>
          <w:rPr>
            <w:noProof/>
            <w:webHidden/>
          </w:rPr>
          <w:instrText xml:space="preserve"> PAGEREF _Toc237347966 \h </w:instrText>
        </w:r>
        <w:r>
          <w:rPr>
            <w:noProof/>
            <w:webHidden/>
          </w:rPr>
        </w:r>
        <w:r>
          <w:rPr>
            <w:noProof/>
            <w:webHidden/>
          </w:rPr>
          <w:fldChar w:fldCharType="separate"/>
        </w:r>
        <w:r w:rsidR="00BE5864">
          <w:rPr>
            <w:noProof/>
            <w:webHidden/>
          </w:rPr>
          <w:t>91</w:t>
        </w:r>
        <w:r>
          <w:rPr>
            <w:noProof/>
            <w:webHidden/>
          </w:rPr>
          <w:fldChar w:fldCharType="end"/>
        </w:r>
      </w:hyperlink>
    </w:p>
    <w:p w14:paraId="5167F9A3" w14:textId="1333E6D3"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67" w:history="1">
        <w:r w:rsidRPr="006B7E15">
          <w:rPr>
            <w:rStyle w:val="Hipercze"/>
            <w:rFonts w:ascii="Calibri" w:hAnsi="Calibri"/>
            <w:noProof/>
          </w:rPr>
          <w:t>Działanie FEMA.05.04 Infrastruktura w edukacji zawodowej w ZIT</w:t>
        </w:r>
        <w:r>
          <w:rPr>
            <w:noProof/>
            <w:webHidden/>
          </w:rPr>
          <w:tab/>
        </w:r>
        <w:r>
          <w:rPr>
            <w:noProof/>
            <w:webHidden/>
          </w:rPr>
          <w:fldChar w:fldCharType="begin"/>
        </w:r>
        <w:r>
          <w:rPr>
            <w:noProof/>
            <w:webHidden/>
          </w:rPr>
          <w:instrText xml:space="preserve"> PAGEREF _Toc237347967 \h </w:instrText>
        </w:r>
        <w:r>
          <w:rPr>
            <w:noProof/>
            <w:webHidden/>
          </w:rPr>
        </w:r>
        <w:r>
          <w:rPr>
            <w:noProof/>
            <w:webHidden/>
          </w:rPr>
          <w:fldChar w:fldCharType="separate"/>
        </w:r>
        <w:r w:rsidR="00BE5864">
          <w:rPr>
            <w:noProof/>
            <w:webHidden/>
          </w:rPr>
          <w:t>95</w:t>
        </w:r>
        <w:r>
          <w:rPr>
            <w:noProof/>
            <w:webHidden/>
          </w:rPr>
          <w:fldChar w:fldCharType="end"/>
        </w:r>
      </w:hyperlink>
    </w:p>
    <w:p w14:paraId="1CE0C533" w14:textId="05986B91"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68" w:history="1">
        <w:r w:rsidRPr="006B7E15">
          <w:rPr>
            <w:rStyle w:val="Hipercze"/>
            <w:rFonts w:ascii="Calibri" w:hAnsi="Calibri"/>
            <w:noProof/>
          </w:rPr>
          <w:t>Działanie FEMA.05.05 Infrastruktura społeczna</w:t>
        </w:r>
        <w:r>
          <w:rPr>
            <w:noProof/>
            <w:webHidden/>
          </w:rPr>
          <w:tab/>
        </w:r>
        <w:r>
          <w:rPr>
            <w:noProof/>
            <w:webHidden/>
          </w:rPr>
          <w:fldChar w:fldCharType="begin"/>
        </w:r>
        <w:r>
          <w:rPr>
            <w:noProof/>
            <w:webHidden/>
          </w:rPr>
          <w:instrText xml:space="preserve"> PAGEREF _Toc237347968 \h </w:instrText>
        </w:r>
        <w:r>
          <w:rPr>
            <w:noProof/>
            <w:webHidden/>
          </w:rPr>
        </w:r>
        <w:r>
          <w:rPr>
            <w:noProof/>
            <w:webHidden/>
          </w:rPr>
          <w:fldChar w:fldCharType="separate"/>
        </w:r>
        <w:r w:rsidR="00BE5864">
          <w:rPr>
            <w:noProof/>
            <w:webHidden/>
          </w:rPr>
          <w:t>99</w:t>
        </w:r>
        <w:r>
          <w:rPr>
            <w:noProof/>
            <w:webHidden/>
          </w:rPr>
          <w:fldChar w:fldCharType="end"/>
        </w:r>
      </w:hyperlink>
    </w:p>
    <w:p w14:paraId="75F9F271" w14:textId="27296D46"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69" w:history="1">
        <w:r w:rsidRPr="006B7E15">
          <w:rPr>
            <w:rStyle w:val="Hipercze"/>
            <w:rFonts w:ascii="Calibri" w:hAnsi="Calibri"/>
            <w:noProof/>
          </w:rPr>
          <w:t>Działanie FEMA.05.06 Ochrona zdrowia</w:t>
        </w:r>
        <w:r>
          <w:rPr>
            <w:noProof/>
            <w:webHidden/>
          </w:rPr>
          <w:tab/>
        </w:r>
        <w:r>
          <w:rPr>
            <w:noProof/>
            <w:webHidden/>
          </w:rPr>
          <w:fldChar w:fldCharType="begin"/>
        </w:r>
        <w:r>
          <w:rPr>
            <w:noProof/>
            <w:webHidden/>
          </w:rPr>
          <w:instrText xml:space="preserve"> PAGEREF _Toc237347969 \h </w:instrText>
        </w:r>
        <w:r>
          <w:rPr>
            <w:noProof/>
            <w:webHidden/>
          </w:rPr>
        </w:r>
        <w:r>
          <w:rPr>
            <w:noProof/>
            <w:webHidden/>
          </w:rPr>
          <w:fldChar w:fldCharType="separate"/>
        </w:r>
        <w:r w:rsidR="00BE5864">
          <w:rPr>
            <w:noProof/>
            <w:webHidden/>
          </w:rPr>
          <w:t>103</w:t>
        </w:r>
        <w:r>
          <w:rPr>
            <w:noProof/>
            <w:webHidden/>
          </w:rPr>
          <w:fldChar w:fldCharType="end"/>
        </w:r>
      </w:hyperlink>
    </w:p>
    <w:p w14:paraId="10D6CCBE" w14:textId="47CAC27A"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70" w:history="1">
        <w:r w:rsidRPr="006B7E15">
          <w:rPr>
            <w:rStyle w:val="Hipercze"/>
            <w:rFonts w:ascii="Calibri" w:hAnsi="Calibri"/>
            <w:noProof/>
          </w:rPr>
          <w:t>Działanie FEMA.05.07 Kultura i turystyka</w:t>
        </w:r>
        <w:r>
          <w:rPr>
            <w:noProof/>
            <w:webHidden/>
          </w:rPr>
          <w:tab/>
        </w:r>
        <w:r>
          <w:rPr>
            <w:noProof/>
            <w:webHidden/>
          </w:rPr>
          <w:fldChar w:fldCharType="begin"/>
        </w:r>
        <w:r>
          <w:rPr>
            <w:noProof/>
            <w:webHidden/>
          </w:rPr>
          <w:instrText xml:space="preserve"> PAGEREF _Toc237347970 \h </w:instrText>
        </w:r>
        <w:r>
          <w:rPr>
            <w:noProof/>
            <w:webHidden/>
          </w:rPr>
        </w:r>
        <w:r>
          <w:rPr>
            <w:noProof/>
            <w:webHidden/>
          </w:rPr>
          <w:fldChar w:fldCharType="separate"/>
        </w:r>
        <w:r w:rsidR="00BE5864">
          <w:rPr>
            <w:noProof/>
            <w:webHidden/>
          </w:rPr>
          <w:t>107</w:t>
        </w:r>
        <w:r>
          <w:rPr>
            <w:noProof/>
            <w:webHidden/>
          </w:rPr>
          <w:fldChar w:fldCharType="end"/>
        </w:r>
      </w:hyperlink>
    </w:p>
    <w:p w14:paraId="1B7959E3" w14:textId="0401D545"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71" w:history="1">
        <w:r w:rsidRPr="006B7E15">
          <w:rPr>
            <w:rStyle w:val="Hipercze"/>
            <w:rFonts w:ascii="Calibri" w:hAnsi="Calibri"/>
            <w:noProof/>
          </w:rPr>
          <w:t>Działanie FEMA.05.08 Infrastruktura szkolnictwa wyższego</w:t>
        </w:r>
        <w:r>
          <w:rPr>
            <w:noProof/>
            <w:webHidden/>
          </w:rPr>
          <w:tab/>
        </w:r>
        <w:r>
          <w:rPr>
            <w:noProof/>
            <w:webHidden/>
          </w:rPr>
          <w:fldChar w:fldCharType="begin"/>
        </w:r>
        <w:r>
          <w:rPr>
            <w:noProof/>
            <w:webHidden/>
          </w:rPr>
          <w:instrText xml:space="preserve"> PAGEREF _Toc237347971 \h </w:instrText>
        </w:r>
        <w:r>
          <w:rPr>
            <w:noProof/>
            <w:webHidden/>
          </w:rPr>
        </w:r>
        <w:r>
          <w:rPr>
            <w:noProof/>
            <w:webHidden/>
          </w:rPr>
          <w:fldChar w:fldCharType="separate"/>
        </w:r>
        <w:r w:rsidR="00BE5864">
          <w:rPr>
            <w:noProof/>
            <w:webHidden/>
          </w:rPr>
          <w:t>112</w:t>
        </w:r>
        <w:r>
          <w:rPr>
            <w:noProof/>
            <w:webHidden/>
          </w:rPr>
          <w:fldChar w:fldCharType="end"/>
        </w:r>
      </w:hyperlink>
    </w:p>
    <w:p w14:paraId="197A0A2C" w14:textId="0A34D9ED"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7972" w:history="1">
        <w:r w:rsidRPr="006B7E15">
          <w:rPr>
            <w:rStyle w:val="Hipercze"/>
            <w:rFonts w:ascii="Calibri" w:hAnsi="Calibri"/>
            <w:noProof/>
          </w:rPr>
          <w:t>Priorytet FEMA.06 Fundusze Europejskie dla aktywnego zawodowo Mazowsza</w:t>
        </w:r>
        <w:r>
          <w:rPr>
            <w:noProof/>
            <w:webHidden/>
          </w:rPr>
          <w:tab/>
        </w:r>
        <w:r>
          <w:rPr>
            <w:noProof/>
            <w:webHidden/>
          </w:rPr>
          <w:fldChar w:fldCharType="begin"/>
        </w:r>
        <w:r>
          <w:rPr>
            <w:noProof/>
            <w:webHidden/>
          </w:rPr>
          <w:instrText xml:space="preserve"> PAGEREF _Toc237347972 \h </w:instrText>
        </w:r>
        <w:r>
          <w:rPr>
            <w:noProof/>
            <w:webHidden/>
          </w:rPr>
        </w:r>
        <w:r>
          <w:rPr>
            <w:noProof/>
            <w:webHidden/>
          </w:rPr>
          <w:fldChar w:fldCharType="separate"/>
        </w:r>
        <w:r w:rsidR="00BE5864">
          <w:rPr>
            <w:noProof/>
            <w:webHidden/>
          </w:rPr>
          <w:t>117</w:t>
        </w:r>
        <w:r>
          <w:rPr>
            <w:noProof/>
            <w:webHidden/>
          </w:rPr>
          <w:fldChar w:fldCharType="end"/>
        </w:r>
      </w:hyperlink>
    </w:p>
    <w:p w14:paraId="79E4F001" w14:textId="56EC7FE4"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73" w:history="1">
        <w:r w:rsidRPr="006B7E15">
          <w:rPr>
            <w:rStyle w:val="Hipercze"/>
            <w:rFonts w:ascii="Calibri" w:hAnsi="Calibri"/>
            <w:noProof/>
          </w:rPr>
          <w:t>Działanie FEMA.06.01 Aktywizacja zawodowa osób bezrobotnych</w:t>
        </w:r>
        <w:r>
          <w:rPr>
            <w:noProof/>
            <w:webHidden/>
          </w:rPr>
          <w:tab/>
        </w:r>
        <w:r>
          <w:rPr>
            <w:noProof/>
            <w:webHidden/>
          </w:rPr>
          <w:fldChar w:fldCharType="begin"/>
        </w:r>
        <w:r>
          <w:rPr>
            <w:noProof/>
            <w:webHidden/>
          </w:rPr>
          <w:instrText xml:space="preserve"> PAGEREF _Toc237347973 \h </w:instrText>
        </w:r>
        <w:r>
          <w:rPr>
            <w:noProof/>
            <w:webHidden/>
          </w:rPr>
        </w:r>
        <w:r>
          <w:rPr>
            <w:noProof/>
            <w:webHidden/>
          </w:rPr>
          <w:fldChar w:fldCharType="separate"/>
        </w:r>
        <w:r w:rsidR="00BE5864">
          <w:rPr>
            <w:noProof/>
            <w:webHidden/>
          </w:rPr>
          <w:t>118</w:t>
        </w:r>
        <w:r>
          <w:rPr>
            <w:noProof/>
            <w:webHidden/>
          </w:rPr>
          <w:fldChar w:fldCharType="end"/>
        </w:r>
      </w:hyperlink>
    </w:p>
    <w:p w14:paraId="5ED85524" w14:textId="6B96E13D"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74" w:history="1">
        <w:r w:rsidRPr="006B7E15">
          <w:rPr>
            <w:rStyle w:val="Hipercze"/>
            <w:rFonts w:ascii="Calibri" w:hAnsi="Calibri"/>
            <w:noProof/>
          </w:rPr>
          <w:t>Działanie FEMA.06.02 Aktywizacja zawodowa osób młodych przez OHP</w:t>
        </w:r>
        <w:r>
          <w:rPr>
            <w:noProof/>
            <w:webHidden/>
          </w:rPr>
          <w:tab/>
        </w:r>
        <w:r>
          <w:rPr>
            <w:noProof/>
            <w:webHidden/>
          </w:rPr>
          <w:fldChar w:fldCharType="begin"/>
        </w:r>
        <w:r>
          <w:rPr>
            <w:noProof/>
            <w:webHidden/>
          </w:rPr>
          <w:instrText xml:space="preserve"> PAGEREF _Toc237347974 \h </w:instrText>
        </w:r>
        <w:r>
          <w:rPr>
            <w:noProof/>
            <w:webHidden/>
          </w:rPr>
        </w:r>
        <w:r>
          <w:rPr>
            <w:noProof/>
            <w:webHidden/>
          </w:rPr>
          <w:fldChar w:fldCharType="separate"/>
        </w:r>
        <w:r w:rsidR="00BE5864">
          <w:rPr>
            <w:noProof/>
            <w:webHidden/>
          </w:rPr>
          <w:t>123</w:t>
        </w:r>
        <w:r>
          <w:rPr>
            <w:noProof/>
            <w:webHidden/>
          </w:rPr>
          <w:fldChar w:fldCharType="end"/>
        </w:r>
      </w:hyperlink>
    </w:p>
    <w:p w14:paraId="2C472CCE" w14:textId="291AEEB5"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75" w:history="1">
        <w:r w:rsidRPr="006B7E15">
          <w:rPr>
            <w:rStyle w:val="Hipercze"/>
            <w:rFonts w:ascii="Calibri" w:hAnsi="Calibri"/>
            <w:noProof/>
          </w:rPr>
          <w:t>Działanie FEMA.06.03 Nowoczesne, regionalne służby zatrudnienia</w:t>
        </w:r>
        <w:r>
          <w:rPr>
            <w:noProof/>
            <w:webHidden/>
          </w:rPr>
          <w:tab/>
        </w:r>
        <w:r>
          <w:rPr>
            <w:noProof/>
            <w:webHidden/>
          </w:rPr>
          <w:fldChar w:fldCharType="begin"/>
        </w:r>
        <w:r>
          <w:rPr>
            <w:noProof/>
            <w:webHidden/>
          </w:rPr>
          <w:instrText xml:space="preserve"> PAGEREF _Toc237347975 \h </w:instrText>
        </w:r>
        <w:r>
          <w:rPr>
            <w:noProof/>
            <w:webHidden/>
          </w:rPr>
        </w:r>
        <w:r>
          <w:rPr>
            <w:noProof/>
            <w:webHidden/>
          </w:rPr>
          <w:fldChar w:fldCharType="separate"/>
        </w:r>
        <w:r w:rsidR="00BE5864">
          <w:rPr>
            <w:noProof/>
            <w:webHidden/>
          </w:rPr>
          <w:t>127</w:t>
        </w:r>
        <w:r>
          <w:rPr>
            <w:noProof/>
            <w:webHidden/>
          </w:rPr>
          <w:fldChar w:fldCharType="end"/>
        </w:r>
      </w:hyperlink>
    </w:p>
    <w:p w14:paraId="418EB5CD" w14:textId="577B6E61"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76" w:history="1">
        <w:r w:rsidRPr="006B7E15">
          <w:rPr>
            <w:rStyle w:val="Hipercze"/>
            <w:rFonts w:ascii="Calibri" w:hAnsi="Calibri"/>
            <w:noProof/>
          </w:rPr>
          <w:t>Działanie FEMA.06.04 Aktywizacja zawodowa biernych zawodowo kobiet</w:t>
        </w:r>
        <w:r>
          <w:rPr>
            <w:noProof/>
            <w:webHidden/>
          </w:rPr>
          <w:tab/>
        </w:r>
        <w:r>
          <w:rPr>
            <w:noProof/>
            <w:webHidden/>
          </w:rPr>
          <w:fldChar w:fldCharType="begin"/>
        </w:r>
        <w:r>
          <w:rPr>
            <w:noProof/>
            <w:webHidden/>
          </w:rPr>
          <w:instrText xml:space="preserve"> PAGEREF _Toc237347976 \h </w:instrText>
        </w:r>
        <w:r>
          <w:rPr>
            <w:noProof/>
            <w:webHidden/>
          </w:rPr>
        </w:r>
        <w:r>
          <w:rPr>
            <w:noProof/>
            <w:webHidden/>
          </w:rPr>
          <w:fldChar w:fldCharType="separate"/>
        </w:r>
        <w:r w:rsidR="00BE5864">
          <w:rPr>
            <w:noProof/>
            <w:webHidden/>
          </w:rPr>
          <w:t>131</w:t>
        </w:r>
        <w:r>
          <w:rPr>
            <w:noProof/>
            <w:webHidden/>
          </w:rPr>
          <w:fldChar w:fldCharType="end"/>
        </w:r>
      </w:hyperlink>
    </w:p>
    <w:p w14:paraId="1AE14095" w14:textId="6AF25C40"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77" w:history="1">
        <w:r w:rsidRPr="006B7E15">
          <w:rPr>
            <w:rStyle w:val="Hipercze"/>
            <w:rFonts w:ascii="Calibri" w:hAnsi="Calibri"/>
            <w:noProof/>
          </w:rPr>
          <w:t>Działanie FEMA.06.05 Wsparcie dla pracodawców i pracowników</w:t>
        </w:r>
        <w:r>
          <w:rPr>
            <w:noProof/>
            <w:webHidden/>
          </w:rPr>
          <w:tab/>
        </w:r>
        <w:r>
          <w:rPr>
            <w:noProof/>
            <w:webHidden/>
          </w:rPr>
          <w:fldChar w:fldCharType="begin"/>
        </w:r>
        <w:r>
          <w:rPr>
            <w:noProof/>
            <w:webHidden/>
          </w:rPr>
          <w:instrText xml:space="preserve"> PAGEREF _Toc237347977 \h </w:instrText>
        </w:r>
        <w:r>
          <w:rPr>
            <w:noProof/>
            <w:webHidden/>
          </w:rPr>
        </w:r>
        <w:r>
          <w:rPr>
            <w:noProof/>
            <w:webHidden/>
          </w:rPr>
          <w:fldChar w:fldCharType="separate"/>
        </w:r>
        <w:r w:rsidR="00BE5864">
          <w:rPr>
            <w:noProof/>
            <w:webHidden/>
          </w:rPr>
          <w:t>136</w:t>
        </w:r>
        <w:r>
          <w:rPr>
            <w:noProof/>
            <w:webHidden/>
          </w:rPr>
          <w:fldChar w:fldCharType="end"/>
        </w:r>
      </w:hyperlink>
    </w:p>
    <w:p w14:paraId="4E775611" w14:textId="63938764"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78" w:history="1">
        <w:r w:rsidRPr="006B7E15">
          <w:rPr>
            <w:rStyle w:val="Hipercze"/>
            <w:rFonts w:ascii="Calibri" w:hAnsi="Calibri"/>
            <w:noProof/>
          </w:rPr>
          <w:t>Działanie FEMA.06.06 Zdrowie pracowników</w:t>
        </w:r>
        <w:r>
          <w:rPr>
            <w:noProof/>
            <w:webHidden/>
          </w:rPr>
          <w:tab/>
        </w:r>
        <w:r>
          <w:rPr>
            <w:noProof/>
            <w:webHidden/>
          </w:rPr>
          <w:fldChar w:fldCharType="begin"/>
        </w:r>
        <w:r>
          <w:rPr>
            <w:noProof/>
            <w:webHidden/>
          </w:rPr>
          <w:instrText xml:space="preserve"> PAGEREF _Toc237347978 \h </w:instrText>
        </w:r>
        <w:r>
          <w:rPr>
            <w:noProof/>
            <w:webHidden/>
          </w:rPr>
        </w:r>
        <w:r>
          <w:rPr>
            <w:noProof/>
            <w:webHidden/>
          </w:rPr>
          <w:fldChar w:fldCharType="separate"/>
        </w:r>
        <w:r w:rsidR="00BE5864">
          <w:rPr>
            <w:noProof/>
            <w:webHidden/>
          </w:rPr>
          <w:t>141</w:t>
        </w:r>
        <w:r>
          <w:rPr>
            <w:noProof/>
            <w:webHidden/>
          </w:rPr>
          <w:fldChar w:fldCharType="end"/>
        </w:r>
      </w:hyperlink>
    </w:p>
    <w:p w14:paraId="532D9E05" w14:textId="28FA4014"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79" w:history="1">
        <w:r w:rsidRPr="006B7E15">
          <w:rPr>
            <w:rStyle w:val="Hipercze"/>
            <w:rFonts w:ascii="Calibri" w:hAnsi="Calibri"/>
            <w:noProof/>
          </w:rPr>
          <w:t>Działanie FEMA.06.07 Kompleksowe wsparcie dla osób młodych</w:t>
        </w:r>
        <w:r>
          <w:rPr>
            <w:noProof/>
            <w:webHidden/>
          </w:rPr>
          <w:tab/>
        </w:r>
        <w:r>
          <w:rPr>
            <w:noProof/>
            <w:webHidden/>
          </w:rPr>
          <w:fldChar w:fldCharType="begin"/>
        </w:r>
        <w:r>
          <w:rPr>
            <w:noProof/>
            <w:webHidden/>
          </w:rPr>
          <w:instrText xml:space="preserve"> PAGEREF _Toc237347979 \h </w:instrText>
        </w:r>
        <w:r>
          <w:rPr>
            <w:noProof/>
            <w:webHidden/>
          </w:rPr>
        </w:r>
        <w:r>
          <w:rPr>
            <w:noProof/>
            <w:webHidden/>
          </w:rPr>
          <w:fldChar w:fldCharType="separate"/>
        </w:r>
        <w:r w:rsidR="00BE5864">
          <w:rPr>
            <w:noProof/>
            <w:webHidden/>
          </w:rPr>
          <w:t>144</w:t>
        </w:r>
        <w:r>
          <w:rPr>
            <w:noProof/>
            <w:webHidden/>
          </w:rPr>
          <w:fldChar w:fldCharType="end"/>
        </w:r>
      </w:hyperlink>
    </w:p>
    <w:p w14:paraId="18140979" w14:textId="3B6FD3B1"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7980" w:history="1">
        <w:r w:rsidRPr="006B7E15">
          <w:rPr>
            <w:rStyle w:val="Hipercze"/>
            <w:rFonts w:ascii="Calibri" w:hAnsi="Calibri"/>
            <w:noProof/>
          </w:rPr>
          <w:t>Priorytet FEMA.07 Fundusze Europejskie dla nowoczesnej i dostępnej edukacji na Mazowszu</w:t>
        </w:r>
        <w:r>
          <w:rPr>
            <w:noProof/>
            <w:webHidden/>
          </w:rPr>
          <w:tab/>
        </w:r>
        <w:r>
          <w:rPr>
            <w:noProof/>
            <w:webHidden/>
          </w:rPr>
          <w:fldChar w:fldCharType="begin"/>
        </w:r>
        <w:r>
          <w:rPr>
            <w:noProof/>
            <w:webHidden/>
          </w:rPr>
          <w:instrText xml:space="preserve"> PAGEREF _Toc237347980 \h </w:instrText>
        </w:r>
        <w:r>
          <w:rPr>
            <w:noProof/>
            <w:webHidden/>
          </w:rPr>
        </w:r>
        <w:r>
          <w:rPr>
            <w:noProof/>
            <w:webHidden/>
          </w:rPr>
          <w:fldChar w:fldCharType="separate"/>
        </w:r>
        <w:r w:rsidR="00BE5864">
          <w:rPr>
            <w:noProof/>
            <w:webHidden/>
          </w:rPr>
          <w:t>149</w:t>
        </w:r>
        <w:r>
          <w:rPr>
            <w:noProof/>
            <w:webHidden/>
          </w:rPr>
          <w:fldChar w:fldCharType="end"/>
        </w:r>
      </w:hyperlink>
    </w:p>
    <w:p w14:paraId="53BC30C3" w14:textId="6D924EC9"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81" w:history="1">
        <w:r w:rsidRPr="006B7E15">
          <w:rPr>
            <w:rStyle w:val="Hipercze"/>
            <w:rFonts w:ascii="Calibri" w:hAnsi="Calibri"/>
            <w:noProof/>
          </w:rPr>
          <w:t>Działanie FEMA.07.01 Edukacja przedszkolna</w:t>
        </w:r>
        <w:r>
          <w:rPr>
            <w:noProof/>
            <w:webHidden/>
          </w:rPr>
          <w:tab/>
        </w:r>
        <w:r>
          <w:rPr>
            <w:noProof/>
            <w:webHidden/>
          </w:rPr>
          <w:fldChar w:fldCharType="begin"/>
        </w:r>
        <w:r>
          <w:rPr>
            <w:noProof/>
            <w:webHidden/>
          </w:rPr>
          <w:instrText xml:space="preserve"> PAGEREF _Toc237347981 \h </w:instrText>
        </w:r>
        <w:r>
          <w:rPr>
            <w:noProof/>
            <w:webHidden/>
          </w:rPr>
        </w:r>
        <w:r>
          <w:rPr>
            <w:noProof/>
            <w:webHidden/>
          </w:rPr>
          <w:fldChar w:fldCharType="separate"/>
        </w:r>
        <w:r w:rsidR="00BE5864">
          <w:rPr>
            <w:noProof/>
            <w:webHidden/>
          </w:rPr>
          <w:t>150</w:t>
        </w:r>
        <w:r>
          <w:rPr>
            <w:noProof/>
            <w:webHidden/>
          </w:rPr>
          <w:fldChar w:fldCharType="end"/>
        </w:r>
      </w:hyperlink>
    </w:p>
    <w:p w14:paraId="75A77F74" w14:textId="767A0CE1"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82" w:history="1">
        <w:r w:rsidRPr="006B7E15">
          <w:rPr>
            <w:rStyle w:val="Hipercze"/>
            <w:rFonts w:ascii="Calibri" w:hAnsi="Calibri"/>
            <w:noProof/>
          </w:rPr>
          <w:t>Działanie FEMA.07.02 Wzmocnienie kompetencji uczniów</w:t>
        </w:r>
        <w:r>
          <w:rPr>
            <w:noProof/>
            <w:webHidden/>
          </w:rPr>
          <w:tab/>
        </w:r>
        <w:r>
          <w:rPr>
            <w:noProof/>
            <w:webHidden/>
          </w:rPr>
          <w:fldChar w:fldCharType="begin"/>
        </w:r>
        <w:r>
          <w:rPr>
            <w:noProof/>
            <w:webHidden/>
          </w:rPr>
          <w:instrText xml:space="preserve"> PAGEREF _Toc237347982 \h </w:instrText>
        </w:r>
        <w:r>
          <w:rPr>
            <w:noProof/>
            <w:webHidden/>
          </w:rPr>
        </w:r>
        <w:r>
          <w:rPr>
            <w:noProof/>
            <w:webHidden/>
          </w:rPr>
          <w:fldChar w:fldCharType="separate"/>
        </w:r>
        <w:r w:rsidR="00BE5864">
          <w:rPr>
            <w:noProof/>
            <w:webHidden/>
          </w:rPr>
          <w:t>154</w:t>
        </w:r>
        <w:r>
          <w:rPr>
            <w:noProof/>
            <w:webHidden/>
          </w:rPr>
          <w:fldChar w:fldCharType="end"/>
        </w:r>
      </w:hyperlink>
    </w:p>
    <w:p w14:paraId="35D18472" w14:textId="435A5177"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83" w:history="1">
        <w:r w:rsidRPr="006B7E15">
          <w:rPr>
            <w:rStyle w:val="Hipercze"/>
            <w:rFonts w:ascii="Calibri" w:hAnsi="Calibri"/>
            <w:noProof/>
          </w:rPr>
          <w:t>Działanie FEMA.07.03 Wzmocnienie kompetencji uczniów w ZIT</w:t>
        </w:r>
        <w:r>
          <w:rPr>
            <w:noProof/>
            <w:webHidden/>
          </w:rPr>
          <w:tab/>
        </w:r>
        <w:r>
          <w:rPr>
            <w:noProof/>
            <w:webHidden/>
          </w:rPr>
          <w:fldChar w:fldCharType="begin"/>
        </w:r>
        <w:r>
          <w:rPr>
            <w:noProof/>
            <w:webHidden/>
          </w:rPr>
          <w:instrText xml:space="preserve"> PAGEREF _Toc237347983 \h </w:instrText>
        </w:r>
        <w:r>
          <w:rPr>
            <w:noProof/>
            <w:webHidden/>
          </w:rPr>
        </w:r>
        <w:r>
          <w:rPr>
            <w:noProof/>
            <w:webHidden/>
          </w:rPr>
          <w:fldChar w:fldCharType="separate"/>
        </w:r>
        <w:r w:rsidR="00BE5864">
          <w:rPr>
            <w:noProof/>
            <w:webHidden/>
          </w:rPr>
          <w:t>160</w:t>
        </w:r>
        <w:r>
          <w:rPr>
            <w:noProof/>
            <w:webHidden/>
          </w:rPr>
          <w:fldChar w:fldCharType="end"/>
        </w:r>
      </w:hyperlink>
    </w:p>
    <w:p w14:paraId="41D2D445" w14:textId="056C4149"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84" w:history="1">
        <w:r w:rsidRPr="006B7E15">
          <w:rPr>
            <w:rStyle w:val="Hipercze"/>
            <w:rFonts w:ascii="Calibri" w:hAnsi="Calibri"/>
            <w:noProof/>
          </w:rPr>
          <w:t>Działanie FEMA.07.04 Edukacja osób dorosłych</w:t>
        </w:r>
        <w:r>
          <w:rPr>
            <w:noProof/>
            <w:webHidden/>
          </w:rPr>
          <w:tab/>
        </w:r>
        <w:r>
          <w:rPr>
            <w:noProof/>
            <w:webHidden/>
          </w:rPr>
          <w:fldChar w:fldCharType="begin"/>
        </w:r>
        <w:r>
          <w:rPr>
            <w:noProof/>
            <w:webHidden/>
          </w:rPr>
          <w:instrText xml:space="preserve"> PAGEREF _Toc237347984 \h </w:instrText>
        </w:r>
        <w:r>
          <w:rPr>
            <w:noProof/>
            <w:webHidden/>
          </w:rPr>
        </w:r>
        <w:r>
          <w:rPr>
            <w:noProof/>
            <w:webHidden/>
          </w:rPr>
          <w:fldChar w:fldCharType="separate"/>
        </w:r>
        <w:r w:rsidR="00BE5864">
          <w:rPr>
            <w:noProof/>
            <w:webHidden/>
          </w:rPr>
          <w:t>163</w:t>
        </w:r>
        <w:r>
          <w:rPr>
            <w:noProof/>
            <w:webHidden/>
          </w:rPr>
          <w:fldChar w:fldCharType="end"/>
        </w:r>
      </w:hyperlink>
    </w:p>
    <w:p w14:paraId="50262026" w14:textId="20F54999"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85" w:history="1">
        <w:r w:rsidRPr="006B7E15">
          <w:rPr>
            <w:rStyle w:val="Hipercze"/>
            <w:rFonts w:ascii="Calibri" w:hAnsi="Calibri"/>
            <w:noProof/>
          </w:rPr>
          <w:t>Działanie FEMA.07.05 Edukacja osób dorosłych poza PSF</w:t>
        </w:r>
        <w:r>
          <w:rPr>
            <w:noProof/>
            <w:webHidden/>
          </w:rPr>
          <w:tab/>
        </w:r>
        <w:r>
          <w:rPr>
            <w:noProof/>
            <w:webHidden/>
          </w:rPr>
          <w:fldChar w:fldCharType="begin"/>
        </w:r>
        <w:r>
          <w:rPr>
            <w:noProof/>
            <w:webHidden/>
          </w:rPr>
          <w:instrText xml:space="preserve"> PAGEREF _Toc237347985 \h </w:instrText>
        </w:r>
        <w:r>
          <w:rPr>
            <w:noProof/>
            <w:webHidden/>
          </w:rPr>
        </w:r>
        <w:r>
          <w:rPr>
            <w:noProof/>
            <w:webHidden/>
          </w:rPr>
          <w:fldChar w:fldCharType="separate"/>
        </w:r>
        <w:r w:rsidR="00BE5864">
          <w:rPr>
            <w:noProof/>
            <w:webHidden/>
          </w:rPr>
          <w:t>167</w:t>
        </w:r>
        <w:r>
          <w:rPr>
            <w:noProof/>
            <w:webHidden/>
          </w:rPr>
          <w:fldChar w:fldCharType="end"/>
        </w:r>
      </w:hyperlink>
    </w:p>
    <w:p w14:paraId="61AC3DC6" w14:textId="053A73D0"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7986" w:history="1">
        <w:r w:rsidRPr="006B7E15">
          <w:rPr>
            <w:rStyle w:val="Hipercze"/>
            <w:rFonts w:ascii="Calibri" w:hAnsi="Calibri"/>
            <w:noProof/>
          </w:rPr>
          <w:t>Priorytet FEMA.08 Fundusze Europejskie dla aktywnej integracji oraz rozwoju usług społecznych i zdrowotnych na Mazowszu</w:t>
        </w:r>
        <w:r>
          <w:rPr>
            <w:noProof/>
            <w:webHidden/>
          </w:rPr>
          <w:tab/>
        </w:r>
        <w:r>
          <w:rPr>
            <w:noProof/>
            <w:webHidden/>
          </w:rPr>
          <w:fldChar w:fldCharType="begin"/>
        </w:r>
        <w:r>
          <w:rPr>
            <w:noProof/>
            <w:webHidden/>
          </w:rPr>
          <w:instrText xml:space="preserve"> PAGEREF _Toc237347986 \h </w:instrText>
        </w:r>
        <w:r>
          <w:rPr>
            <w:noProof/>
            <w:webHidden/>
          </w:rPr>
        </w:r>
        <w:r>
          <w:rPr>
            <w:noProof/>
            <w:webHidden/>
          </w:rPr>
          <w:fldChar w:fldCharType="separate"/>
        </w:r>
        <w:r w:rsidR="00BE5864">
          <w:rPr>
            <w:noProof/>
            <w:webHidden/>
          </w:rPr>
          <w:t>172</w:t>
        </w:r>
        <w:r>
          <w:rPr>
            <w:noProof/>
            <w:webHidden/>
          </w:rPr>
          <w:fldChar w:fldCharType="end"/>
        </w:r>
      </w:hyperlink>
    </w:p>
    <w:p w14:paraId="27CACB51" w14:textId="72C44EB2"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87" w:history="1">
        <w:r w:rsidRPr="006B7E15">
          <w:rPr>
            <w:rStyle w:val="Hipercze"/>
            <w:rFonts w:ascii="Calibri" w:hAnsi="Calibri"/>
            <w:noProof/>
          </w:rPr>
          <w:t>Działanie FEMA.08.01 Aktywizacja społeczna i zawodowa</w:t>
        </w:r>
        <w:r>
          <w:rPr>
            <w:noProof/>
            <w:webHidden/>
          </w:rPr>
          <w:tab/>
        </w:r>
        <w:r>
          <w:rPr>
            <w:noProof/>
            <w:webHidden/>
          </w:rPr>
          <w:fldChar w:fldCharType="begin"/>
        </w:r>
        <w:r>
          <w:rPr>
            <w:noProof/>
            <w:webHidden/>
          </w:rPr>
          <w:instrText xml:space="preserve"> PAGEREF _Toc237347987 \h </w:instrText>
        </w:r>
        <w:r>
          <w:rPr>
            <w:noProof/>
            <w:webHidden/>
          </w:rPr>
        </w:r>
        <w:r>
          <w:rPr>
            <w:noProof/>
            <w:webHidden/>
          </w:rPr>
          <w:fldChar w:fldCharType="separate"/>
        </w:r>
        <w:r w:rsidR="00BE5864">
          <w:rPr>
            <w:noProof/>
            <w:webHidden/>
          </w:rPr>
          <w:t>173</w:t>
        </w:r>
        <w:r>
          <w:rPr>
            <w:noProof/>
            <w:webHidden/>
          </w:rPr>
          <w:fldChar w:fldCharType="end"/>
        </w:r>
      </w:hyperlink>
    </w:p>
    <w:p w14:paraId="29E6BBF7" w14:textId="1E961BFF"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88" w:history="1">
        <w:r w:rsidRPr="006B7E15">
          <w:rPr>
            <w:rStyle w:val="Hipercze"/>
            <w:rFonts w:ascii="Calibri" w:hAnsi="Calibri"/>
            <w:noProof/>
          </w:rPr>
          <w:t>Działanie FEMA.08.02 Ekonomia społeczna</w:t>
        </w:r>
        <w:r>
          <w:rPr>
            <w:noProof/>
            <w:webHidden/>
          </w:rPr>
          <w:tab/>
        </w:r>
        <w:r>
          <w:rPr>
            <w:noProof/>
            <w:webHidden/>
          </w:rPr>
          <w:fldChar w:fldCharType="begin"/>
        </w:r>
        <w:r>
          <w:rPr>
            <w:noProof/>
            <w:webHidden/>
          </w:rPr>
          <w:instrText xml:space="preserve"> PAGEREF _Toc237347988 \h </w:instrText>
        </w:r>
        <w:r>
          <w:rPr>
            <w:noProof/>
            <w:webHidden/>
          </w:rPr>
        </w:r>
        <w:r>
          <w:rPr>
            <w:noProof/>
            <w:webHidden/>
          </w:rPr>
          <w:fldChar w:fldCharType="separate"/>
        </w:r>
        <w:r w:rsidR="00BE5864">
          <w:rPr>
            <w:noProof/>
            <w:webHidden/>
          </w:rPr>
          <w:t>178</w:t>
        </w:r>
        <w:r>
          <w:rPr>
            <w:noProof/>
            <w:webHidden/>
          </w:rPr>
          <w:fldChar w:fldCharType="end"/>
        </w:r>
      </w:hyperlink>
    </w:p>
    <w:p w14:paraId="13C5CEE5" w14:textId="5BFC0357"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89" w:history="1">
        <w:r w:rsidRPr="006B7E15">
          <w:rPr>
            <w:rStyle w:val="Hipercze"/>
            <w:rFonts w:ascii="Calibri" w:hAnsi="Calibri"/>
            <w:noProof/>
          </w:rPr>
          <w:t>Działanie FEMA.08.03 Potencjał partnerów społecznych i organizacji pozarządowych</w:t>
        </w:r>
        <w:r>
          <w:rPr>
            <w:noProof/>
            <w:webHidden/>
          </w:rPr>
          <w:tab/>
        </w:r>
        <w:r>
          <w:rPr>
            <w:noProof/>
            <w:webHidden/>
          </w:rPr>
          <w:fldChar w:fldCharType="begin"/>
        </w:r>
        <w:r>
          <w:rPr>
            <w:noProof/>
            <w:webHidden/>
          </w:rPr>
          <w:instrText xml:space="preserve"> PAGEREF _Toc237347989 \h </w:instrText>
        </w:r>
        <w:r>
          <w:rPr>
            <w:noProof/>
            <w:webHidden/>
          </w:rPr>
        </w:r>
        <w:r>
          <w:rPr>
            <w:noProof/>
            <w:webHidden/>
          </w:rPr>
          <w:fldChar w:fldCharType="separate"/>
        </w:r>
        <w:r w:rsidR="00BE5864">
          <w:rPr>
            <w:noProof/>
            <w:webHidden/>
          </w:rPr>
          <w:t>182</w:t>
        </w:r>
        <w:r>
          <w:rPr>
            <w:noProof/>
            <w:webHidden/>
          </w:rPr>
          <w:fldChar w:fldCharType="end"/>
        </w:r>
      </w:hyperlink>
    </w:p>
    <w:p w14:paraId="269EEAB4" w14:textId="5A93F0AC"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90" w:history="1">
        <w:r w:rsidRPr="006B7E15">
          <w:rPr>
            <w:rStyle w:val="Hipercze"/>
            <w:rFonts w:ascii="Calibri" w:hAnsi="Calibri"/>
            <w:noProof/>
          </w:rPr>
          <w:t>Działanie FEMA.08.04 Integracja społeczno-zawodowa obywateli państw trzecich</w:t>
        </w:r>
        <w:r>
          <w:rPr>
            <w:noProof/>
            <w:webHidden/>
          </w:rPr>
          <w:tab/>
        </w:r>
        <w:r>
          <w:rPr>
            <w:noProof/>
            <w:webHidden/>
          </w:rPr>
          <w:fldChar w:fldCharType="begin"/>
        </w:r>
        <w:r>
          <w:rPr>
            <w:noProof/>
            <w:webHidden/>
          </w:rPr>
          <w:instrText xml:space="preserve"> PAGEREF _Toc237347990 \h </w:instrText>
        </w:r>
        <w:r>
          <w:rPr>
            <w:noProof/>
            <w:webHidden/>
          </w:rPr>
        </w:r>
        <w:r>
          <w:rPr>
            <w:noProof/>
            <w:webHidden/>
          </w:rPr>
          <w:fldChar w:fldCharType="separate"/>
        </w:r>
        <w:r w:rsidR="00BE5864">
          <w:rPr>
            <w:noProof/>
            <w:webHidden/>
          </w:rPr>
          <w:t>186</w:t>
        </w:r>
        <w:r>
          <w:rPr>
            <w:noProof/>
            <w:webHidden/>
          </w:rPr>
          <w:fldChar w:fldCharType="end"/>
        </w:r>
      </w:hyperlink>
    </w:p>
    <w:p w14:paraId="399EC81E" w14:textId="1231544E"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91" w:history="1">
        <w:r w:rsidRPr="006B7E15">
          <w:rPr>
            <w:rStyle w:val="Hipercze"/>
            <w:rFonts w:ascii="Calibri" w:hAnsi="Calibri"/>
            <w:noProof/>
          </w:rPr>
          <w:t>Działanie FEMA.08.05 Usługi społeczne i zdrowotne</w:t>
        </w:r>
        <w:r>
          <w:rPr>
            <w:noProof/>
            <w:webHidden/>
          </w:rPr>
          <w:tab/>
        </w:r>
        <w:r>
          <w:rPr>
            <w:noProof/>
            <w:webHidden/>
          </w:rPr>
          <w:fldChar w:fldCharType="begin"/>
        </w:r>
        <w:r>
          <w:rPr>
            <w:noProof/>
            <w:webHidden/>
          </w:rPr>
          <w:instrText xml:space="preserve"> PAGEREF _Toc237347991 \h </w:instrText>
        </w:r>
        <w:r>
          <w:rPr>
            <w:noProof/>
            <w:webHidden/>
          </w:rPr>
        </w:r>
        <w:r>
          <w:rPr>
            <w:noProof/>
            <w:webHidden/>
          </w:rPr>
          <w:fldChar w:fldCharType="separate"/>
        </w:r>
        <w:r w:rsidR="00BE5864">
          <w:rPr>
            <w:noProof/>
            <w:webHidden/>
          </w:rPr>
          <w:t>191</w:t>
        </w:r>
        <w:r>
          <w:rPr>
            <w:noProof/>
            <w:webHidden/>
          </w:rPr>
          <w:fldChar w:fldCharType="end"/>
        </w:r>
      </w:hyperlink>
    </w:p>
    <w:p w14:paraId="1B7000BD" w14:textId="0780514E"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92" w:history="1">
        <w:r w:rsidRPr="006B7E15">
          <w:rPr>
            <w:rStyle w:val="Hipercze"/>
            <w:rFonts w:ascii="Calibri" w:hAnsi="Calibri"/>
            <w:noProof/>
          </w:rPr>
          <w:t>Działanie FEMA.08.06 Usługi społeczne na rzecz rodzin</w:t>
        </w:r>
        <w:r>
          <w:rPr>
            <w:noProof/>
            <w:webHidden/>
          </w:rPr>
          <w:tab/>
        </w:r>
        <w:r>
          <w:rPr>
            <w:noProof/>
            <w:webHidden/>
          </w:rPr>
          <w:fldChar w:fldCharType="begin"/>
        </w:r>
        <w:r>
          <w:rPr>
            <w:noProof/>
            <w:webHidden/>
          </w:rPr>
          <w:instrText xml:space="preserve"> PAGEREF _Toc237347992 \h </w:instrText>
        </w:r>
        <w:r>
          <w:rPr>
            <w:noProof/>
            <w:webHidden/>
          </w:rPr>
        </w:r>
        <w:r>
          <w:rPr>
            <w:noProof/>
            <w:webHidden/>
          </w:rPr>
          <w:fldChar w:fldCharType="separate"/>
        </w:r>
        <w:r w:rsidR="00BE5864">
          <w:rPr>
            <w:noProof/>
            <w:webHidden/>
          </w:rPr>
          <w:t>197</w:t>
        </w:r>
        <w:r>
          <w:rPr>
            <w:noProof/>
            <w:webHidden/>
          </w:rPr>
          <w:fldChar w:fldCharType="end"/>
        </w:r>
      </w:hyperlink>
    </w:p>
    <w:p w14:paraId="32D92455" w14:textId="65002173"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93" w:history="1">
        <w:r w:rsidRPr="006B7E15">
          <w:rPr>
            <w:rStyle w:val="Hipercze"/>
            <w:rFonts w:ascii="Calibri" w:hAnsi="Calibri"/>
            <w:noProof/>
          </w:rPr>
          <w:t>Działanie FEMA.08.07 Integracja społeczna osób w kryzysie bezdomności i zagrożonych bezdomnością</w:t>
        </w:r>
        <w:r>
          <w:rPr>
            <w:noProof/>
            <w:webHidden/>
          </w:rPr>
          <w:tab/>
        </w:r>
        <w:r>
          <w:rPr>
            <w:noProof/>
            <w:webHidden/>
          </w:rPr>
          <w:fldChar w:fldCharType="begin"/>
        </w:r>
        <w:r>
          <w:rPr>
            <w:noProof/>
            <w:webHidden/>
          </w:rPr>
          <w:instrText xml:space="preserve"> PAGEREF _Toc237347993 \h </w:instrText>
        </w:r>
        <w:r>
          <w:rPr>
            <w:noProof/>
            <w:webHidden/>
          </w:rPr>
        </w:r>
        <w:r>
          <w:rPr>
            <w:noProof/>
            <w:webHidden/>
          </w:rPr>
          <w:fldChar w:fldCharType="separate"/>
        </w:r>
        <w:r w:rsidR="00BE5864">
          <w:rPr>
            <w:noProof/>
            <w:webHidden/>
          </w:rPr>
          <w:t>203</w:t>
        </w:r>
        <w:r>
          <w:rPr>
            <w:noProof/>
            <w:webHidden/>
          </w:rPr>
          <w:fldChar w:fldCharType="end"/>
        </w:r>
      </w:hyperlink>
    </w:p>
    <w:p w14:paraId="4F53AA45" w14:textId="46A8D8ED"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94" w:history="1">
        <w:r w:rsidRPr="006B7E15">
          <w:rPr>
            <w:rStyle w:val="Hipercze"/>
            <w:rFonts w:ascii="Calibri" w:hAnsi="Calibri"/>
            <w:noProof/>
          </w:rPr>
          <w:t>Działanie FEMA.08.08 Integracja społeczna Romów</w:t>
        </w:r>
        <w:r>
          <w:rPr>
            <w:noProof/>
            <w:webHidden/>
          </w:rPr>
          <w:tab/>
        </w:r>
        <w:r>
          <w:rPr>
            <w:noProof/>
            <w:webHidden/>
          </w:rPr>
          <w:fldChar w:fldCharType="begin"/>
        </w:r>
        <w:r>
          <w:rPr>
            <w:noProof/>
            <w:webHidden/>
          </w:rPr>
          <w:instrText xml:space="preserve"> PAGEREF _Toc237347994 \h </w:instrText>
        </w:r>
        <w:r>
          <w:rPr>
            <w:noProof/>
            <w:webHidden/>
          </w:rPr>
        </w:r>
        <w:r>
          <w:rPr>
            <w:noProof/>
            <w:webHidden/>
          </w:rPr>
          <w:fldChar w:fldCharType="separate"/>
        </w:r>
        <w:r w:rsidR="00BE5864">
          <w:rPr>
            <w:noProof/>
            <w:webHidden/>
          </w:rPr>
          <w:t>207</w:t>
        </w:r>
        <w:r>
          <w:rPr>
            <w:noProof/>
            <w:webHidden/>
          </w:rPr>
          <w:fldChar w:fldCharType="end"/>
        </w:r>
      </w:hyperlink>
    </w:p>
    <w:p w14:paraId="57B7E74A" w14:textId="31BCDD24"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7995" w:history="1">
        <w:r w:rsidRPr="006B7E15">
          <w:rPr>
            <w:rStyle w:val="Hipercze"/>
            <w:rFonts w:ascii="Calibri" w:hAnsi="Calibri"/>
            <w:noProof/>
          </w:rPr>
          <w:t>Priorytet FEMA.09 Mazowsze bliższe obywatelom dzięki Funduszom Europejskim</w:t>
        </w:r>
        <w:r>
          <w:rPr>
            <w:noProof/>
            <w:webHidden/>
          </w:rPr>
          <w:tab/>
        </w:r>
        <w:r>
          <w:rPr>
            <w:noProof/>
            <w:webHidden/>
          </w:rPr>
          <w:fldChar w:fldCharType="begin"/>
        </w:r>
        <w:r>
          <w:rPr>
            <w:noProof/>
            <w:webHidden/>
          </w:rPr>
          <w:instrText xml:space="preserve"> PAGEREF _Toc237347995 \h </w:instrText>
        </w:r>
        <w:r>
          <w:rPr>
            <w:noProof/>
            <w:webHidden/>
          </w:rPr>
        </w:r>
        <w:r>
          <w:rPr>
            <w:noProof/>
            <w:webHidden/>
          </w:rPr>
          <w:fldChar w:fldCharType="separate"/>
        </w:r>
        <w:r w:rsidR="00BE5864">
          <w:rPr>
            <w:noProof/>
            <w:webHidden/>
          </w:rPr>
          <w:t>211</w:t>
        </w:r>
        <w:r>
          <w:rPr>
            <w:noProof/>
            <w:webHidden/>
          </w:rPr>
          <w:fldChar w:fldCharType="end"/>
        </w:r>
      </w:hyperlink>
    </w:p>
    <w:p w14:paraId="4530F400" w14:textId="7A7E9FA1"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96" w:history="1">
        <w:r w:rsidRPr="006B7E15">
          <w:rPr>
            <w:rStyle w:val="Hipercze"/>
            <w:rFonts w:ascii="Calibri" w:hAnsi="Calibri"/>
            <w:noProof/>
          </w:rPr>
          <w:t>Działanie FEMA.09.01 Rewitalizacja miast</w:t>
        </w:r>
        <w:r>
          <w:rPr>
            <w:noProof/>
            <w:webHidden/>
          </w:rPr>
          <w:tab/>
        </w:r>
        <w:r>
          <w:rPr>
            <w:noProof/>
            <w:webHidden/>
          </w:rPr>
          <w:fldChar w:fldCharType="begin"/>
        </w:r>
        <w:r>
          <w:rPr>
            <w:noProof/>
            <w:webHidden/>
          </w:rPr>
          <w:instrText xml:space="preserve"> PAGEREF _Toc237347996 \h </w:instrText>
        </w:r>
        <w:r>
          <w:rPr>
            <w:noProof/>
            <w:webHidden/>
          </w:rPr>
        </w:r>
        <w:r>
          <w:rPr>
            <w:noProof/>
            <w:webHidden/>
          </w:rPr>
          <w:fldChar w:fldCharType="separate"/>
        </w:r>
        <w:r w:rsidR="00BE5864">
          <w:rPr>
            <w:noProof/>
            <w:webHidden/>
          </w:rPr>
          <w:t>212</w:t>
        </w:r>
        <w:r>
          <w:rPr>
            <w:noProof/>
            <w:webHidden/>
          </w:rPr>
          <w:fldChar w:fldCharType="end"/>
        </w:r>
      </w:hyperlink>
    </w:p>
    <w:p w14:paraId="020D6FFB" w14:textId="69A82BD8"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97" w:history="1">
        <w:r w:rsidRPr="006B7E15">
          <w:rPr>
            <w:rStyle w:val="Hipercze"/>
            <w:rFonts w:ascii="Calibri" w:hAnsi="Calibri"/>
            <w:noProof/>
          </w:rPr>
          <w:t>Działanie FEMA.09.02 Rewitalizacja obszarów innych niż miejskie</w:t>
        </w:r>
        <w:r>
          <w:rPr>
            <w:noProof/>
            <w:webHidden/>
          </w:rPr>
          <w:tab/>
        </w:r>
        <w:r>
          <w:rPr>
            <w:noProof/>
            <w:webHidden/>
          </w:rPr>
          <w:fldChar w:fldCharType="begin"/>
        </w:r>
        <w:r>
          <w:rPr>
            <w:noProof/>
            <w:webHidden/>
          </w:rPr>
          <w:instrText xml:space="preserve"> PAGEREF _Toc237347997 \h </w:instrText>
        </w:r>
        <w:r>
          <w:rPr>
            <w:noProof/>
            <w:webHidden/>
          </w:rPr>
        </w:r>
        <w:r>
          <w:rPr>
            <w:noProof/>
            <w:webHidden/>
          </w:rPr>
          <w:fldChar w:fldCharType="separate"/>
        </w:r>
        <w:r w:rsidR="00BE5864">
          <w:rPr>
            <w:noProof/>
            <w:webHidden/>
          </w:rPr>
          <w:t>218</w:t>
        </w:r>
        <w:r>
          <w:rPr>
            <w:noProof/>
            <w:webHidden/>
          </w:rPr>
          <w:fldChar w:fldCharType="end"/>
        </w:r>
      </w:hyperlink>
    </w:p>
    <w:p w14:paraId="588DAAB4" w14:textId="1C4F3E6A"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98" w:history="1">
        <w:r w:rsidRPr="006B7E15">
          <w:rPr>
            <w:rStyle w:val="Hipercze"/>
            <w:rFonts w:ascii="Calibri" w:hAnsi="Calibri"/>
            <w:noProof/>
          </w:rPr>
          <w:t>Działanie FEMA.09.03 Mazowieckie Centrum Wsparcia Doradczego</w:t>
        </w:r>
        <w:r>
          <w:rPr>
            <w:noProof/>
            <w:webHidden/>
          </w:rPr>
          <w:tab/>
        </w:r>
        <w:r>
          <w:rPr>
            <w:noProof/>
            <w:webHidden/>
          </w:rPr>
          <w:fldChar w:fldCharType="begin"/>
        </w:r>
        <w:r>
          <w:rPr>
            <w:noProof/>
            <w:webHidden/>
          </w:rPr>
          <w:instrText xml:space="preserve"> PAGEREF _Toc237347998 \h </w:instrText>
        </w:r>
        <w:r>
          <w:rPr>
            <w:noProof/>
            <w:webHidden/>
          </w:rPr>
        </w:r>
        <w:r>
          <w:rPr>
            <w:noProof/>
            <w:webHidden/>
          </w:rPr>
          <w:fldChar w:fldCharType="separate"/>
        </w:r>
        <w:r w:rsidR="00BE5864">
          <w:rPr>
            <w:noProof/>
            <w:webHidden/>
          </w:rPr>
          <w:t>223</w:t>
        </w:r>
        <w:r>
          <w:rPr>
            <w:noProof/>
            <w:webHidden/>
          </w:rPr>
          <w:fldChar w:fldCharType="end"/>
        </w:r>
      </w:hyperlink>
    </w:p>
    <w:p w14:paraId="4DDA8FE9" w14:textId="7BE398F5"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7999" w:history="1">
        <w:r w:rsidRPr="006B7E15">
          <w:rPr>
            <w:rStyle w:val="Hipercze"/>
            <w:rFonts w:ascii="Calibri" w:hAnsi="Calibri"/>
            <w:noProof/>
          </w:rPr>
          <w:t>Działanie FEMA.09.04 Metropolitalne Centrum Wsparcia Doradczego</w:t>
        </w:r>
        <w:r>
          <w:rPr>
            <w:noProof/>
            <w:webHidden/>
          </w:rPr>
          <w:tab/>
        </w:r>
        <w:r>
          <w:rPr>
            <w:noProof/>
            <w:webHidden/>
          </w:rPr>
          <w:fldChar w:fldCharType="begin"/>
        </w:r>
        <w:r>
          <w:rPr>
            <w:noProof/>
            <w:webHidden/>
          </w:rPr>
          <w:instrText xml:space="preserve"> PAGEREF _Toc237347999 \h </w:instrText>
        </w:r>
        <w:r>
          <w:rPr>
            <w:noProof/>
            <w:webHidden/>
          </w:rPr>
        </w:r>
        <w:r>
          <w:rPr>
            <w:noProof/>
            <w:webHidden/>
          </w:rPr>
          <w:fldChar w:fldCharType="separate"/>
        </w:r>
        <w:r w:rsidR="00BE5864">
          <w:rPr>
            <w:noProof/>
            <w:webHidden/>
          </w:rPr>
          <w:t>226</w:t>
        </w:r>
        <w:r>
          <w:rPr>
            <w:noProof/>
            <w:webHidden/>
          </w:rPr>
          <w:fldChar w:fldCharType="end"/>
        </w:r>
      </w:hyperlink>
    </w:p>
    <w:p w14:paraId="54CFCA4A" w14:textId="1D41BE5C"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8000" w:history="1">
        <w:r w:rsidRPr="006B7E15">
          <w:rPr>
            <w:rStyle w:val="Hipercze"/>
            <w:rFonts w:ascii="Calibri" w:hAnsi="Calibri"/>
            <w:noProof/>
          </w:rPr>
          <w:t>Priorytet FEMA.10 Pomoc techniczna (EFRR)</w:t>
        </w:r>
        <w:r>
          <w:rPr>
            <w:noProof/>
            <w:webHidden/>
          </w:rPr>
          <w:tab/>
        </w:r>
        <w:r>
          <w:rPr>
            <w:noProof/>
            <w:webHidden/>
          </w:rPr>
          <w:fldChar w:fldCharType="begin"/>
        </w:r>
        <w:r>
          <w:rPr>
            <w:noProof/>
            <w:webHidden/>
          </w:rPr>
          <w:instrText xml:space="preserve"> PAGEREF _Toc237348000 \h </w:instrText>
        </w:r>
        <w:r>
          <w:rPr>
            <w:noProof/>
            <w:webHidden/>
          </w:rPr>
        </w:r>
        <w:r>
          <w:rPr>
            <w:noProof/>
            <w:webHidden/>
          </w:rPr>
          <w:fldChar w:fldCharType="separate"/>
        </w:r>
        <w:r w:rsidR="00BE5864">
          <w:rPr>
            <w:noProof/>
            <w:webHidden/>
          </w:rPr>
          <w:t>229</w:t>
        </w:r>
        <w:r>
          <w:rPr>
            <w:noProof/>
            <w:webHidden/>
          </w:rPr>
          <w:fldChar w:fldCharType="end"/>
        </w:r>
      </w:hyperlink>
    </w:p>
    <w:p w14:paraId="42906142" w14:textId="7F534414"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8001" w:history="1">
        <w:r w:rsidRPr="006B7E15">
          <w:rPr>
            <w:rStyle w:val="Hipercze"/>
            <w:rFonts w:ascii="Calibri" w:hAnsi="Calibri"/>
            <w:noProof/>
          </w:rPr>
          <w:t>Działanie FEMA.10.01 Pomoc techniczna EFRR</w:t>
        </w:r>
        <w:r>
          <w:rPr>
            <w:noProof/>
            <w:webHidden/>
          </w:rPr>
          <w:tab/>
        </w:r>
        <w:r>
          <w:rPr>
            <w:noProof/>
            <w:webHidden/>
          </w:rPr>
          <w:fldChar w:fldCharType="begin"/>
        </w:r>
        <w:r>
          <w:rPr>
            <w:noProof/>
            <w:webHidden/>
          </w:rPr>
          <w:instrText xml:space="preserve"> PAGEREF _Toc237348001 \h </w:instrText>
        </w:r>
        <w:r>
          <w:rPr>
            <w:noProof/>
            <w:webHidden/>
          </w:rPr>
        </w:r>
        <w:r>
          <w:rPr>
            <w:noProof/>
            <w:webHidden/>
          </w:rPr>
          <w:fldChar w:fldCharType="separate"/>
        </w:r>
        <w:r w:rsidR="00BE5864">
          <w:rPr>
            <w:noProof/>
            <w:webHidden/>
          </w:rPr>
          <w:t>229</w:t>
        </w:r>
        <w:r>
          <w:rPr>
            <w:noProof/>
            <w:webHidden/>
          </w:rPr>
          <w:fldChar w:fldCharType="end"/>
        </w:r>
      </w:hyperlink>
    </w:p>
    <w:p w14:paraId="37EFFBCA" w14:textId="2B35FA74"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8002" w:history="1">
        <w:r w:rsidRPr="006B7E15">
          <w:rPr>
            <w:rStyle w:val="Hipercze"/>
            <w:rFonts w:ascii="Calibri" w:hAnsi="Calibri"/>
            <w:noProof/>
          </w:rPr>
          <w:t>Priorytet FEMA.11 Pomoc techniczna (EFS+)</w:t>
        </w:r>
        <w:r>
          <w:rPr>
            <w:noProof/>
            <w:webHidden/>
          </w:rPr>
          <w:tab/>
        </w:r>
        <w:r>
          <w:rPr>
            <w:noProof/>
            <w:webHidden/>
          </w:rPr>
          <w:fldChar w:fldCharType="begin"/>
        </w:r>
        <w:r>
          <w:rPr>
            <w:noProof/>
            <w:webHidden/>
          </w:rPr>
          <w:instrText xml:space="preserve"> PAGEREF _Toc237348002 \h </w:instrText>
        </w:r>
        <w:r>
          <w:rPr>
            <w:noProof/>
            <w:webHidden/>
          </w:rPr>
        </w:r>
        <w:r>
          <w:rPr>
            <w:noProof/>
            <w:webHidden/>
          </w:rPr>
          <w:fldChar w:fldCharType="separate"/>
        </w:r>
        <w:r w:rsidR="00BE5864">
          <w:rPr>
            <w:noProof/>
            <w:webHidden/>
          </w:rPr>
          <w:t>234</w:t>
        </w:r>
        <w:r>
          <w:rPr>
            <w:noProof/>
            <w:webHidden/>
          </w:rPr>
          <w:fldChar w:fldCharType="end"/>
        </w:r>
      </w:hyperlink>
    </w:p>
    <w:p w14:paraId="0C9B53EB" w14:textId="1D0B35C3"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8003" w:history="1">
        <w:r w:rsidRPr="006B7E15">
          <w:rPr>
            <w:rStyle w:val="Hipercze"/>
            <w:rFonts w:ascii="Calibri" w:hAnsi="Calibri"/>
            <w:noProof/>
          </w:rPr>
          <w:t>Działanie FEMA.11.01 Pomoc techniczna EFS+</w:t>
        </w:r>
        <w:r>
          <w:rPr>
            <w:noProof/>
            <w:webHidden/>
          </w:rPr>
          <w:tab/>
        </w:r>
        <w:r>
          <w:rPr>
            <w:noProof/>
            <w:webHidden/>
          </w:rPr>
          <w:fldChar w:fldCharType="begin"/>
        </w:r>
        <w:r>
          <w:rPr>
            <w:noProof/>
            <w:webHidden/>
          </w:rPr>
          <w:instrText xml:space="preserve"> PAGEREF _Toc237348003 \h </w:instrText>
        </w:r>
        <w:r>
          <w:rPr>
            <w:noProof/>
            <w:webHidden/>
          </w:rPr>
        </w:r>
        <w:r>
          <w:rPr>
            <w:noProof/>
            <w:webHidden/>
          </w:rPr>
          <w:fldChar w:fldCharType="separate"/>
        </w:r>
        <w:r w:rsidR="00BE5864">
          <w:rPr>
            <w:noProof/>
            <w:webHidden/>
          </w:rPr>
          <w:t>234</w:t>
        </w:r>
        <w:r>
          <w:rPr>
            <w:noProof/>
            <w:webHidden/>
          </w:rPr>
          <w:fldChar w:fldCharType="end"/>
        </w:r>
      </w:hyperlink>
    </w:p>
    <w:p w14:paraId="3DEF288D" w14:textId="2205CEC2"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8004" w:history="1">
        <w:r w:rsidRPr="006B7E15">
          <w:rPr>
            <w:rStyle w:val="Hipercze"/>
            <w:rFonts w:ascii="Calibri" w:hAnsi="Calibri"/>
            <w:noProof/>
          </w:rPr>
          <w:t>Priorytet FEMA.12 STEP na Mazowszu</w:t>
        </w:r>
        <w:r>
          <w:rPr>
            <w:noProof/>
            <w:webHidden/>
          </w:rPr>
          <w:tab/>
        </w:r>
        <w:r>
          <w:rPr>
            <w:noProof/>
            <w:webHidden/>
          </w:rPr>
          <w:fldChar w:fldCharType="begin"/>
        </w:r>
        <w:r>
          <w:rPr>
            <w:noProof/>
            <w:webHidden/>
          </w:rPr>
          <w:instrText xml:space="preserve"> PAGEREF _Toc237348004 \h </w:instrText>
        </w:r>
        <w:r>
          <w:rPr>
            <w:noProof/>
            <w:webHidden/>
          </w:rPr>
        </w:r>
        <w:r>
          <w:rPr>
            <w:noProof/>
            <w:webHidden/>
          </w:rPr>
          <w:fldChar w:fldCharType="separate"/>
        </w:r>
        <w:r w:rsidR="00BE5864">
          <w:rPr>
            <w:noProof/>
            <w:webHidden/>
          </w:rPr>
          <w:t>239</w:t>
        </w:r>
        <w:r>
          <w:rPr>
            <w:noProof/>
            <w:webHidden/>
          </w:rPr>
          <w:fldChar w:fldCharType="end"/>
        </w:r>
      </w:hyperlink>
    </w:p>
    <w:p w14:paraId="1AF37C52" w14:textId="19A75999"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8005" w:history="1">
        <w:r w:rsidRPr="006B7E15">
          <w:rPr>
            <w:rStyle w:val="Hipercze"/>
            <w:rFonts w:ascii="Calibri" w:hAnsi="Calibri"/>
            <w:noProof/>
          </w:rPr>
          <w:t>Działanie FEMA.12.01 STEP dla rozwoju biotechnologii</w:t>
        </w:r>
        <w:r>
          <w:rPr>
            <w:noProof/>
            <w:webHidden/>
          </w:rPr>
          <w:tab/>
        </w:r>
        <w:r>
          <w:rPr>
            <w:noProof/>
            <w:webHidden/>
          </w:rPr>
          <w:fldChar w:fldCharType="begin"/>
        </w:r>
        <w:r>
          <w:rPr>
            <w:noProof/>
            <w:webHidden/>
          </w:rPr>
          <w:instrText xml:space="preserve"> PAGEREF _Toc237348005 \h </w:instrText>
        </w:r>
        <w:r>
          <w:rPr>
            <w:noProof/>
            <w:webHidden/>
          </w:rPr>
        </w:r>
        <w:r>
          <w:rPr>
            <w:noProof/>
            <w:webHidden/>
          </w:rPr>
          <w:fldChar w:fldCharType="separate"/>
        </w:r>
        <w:r w:rsidR="00BE5864">
          <w:rPr>
            <w:noProof/>
            <w:webHidden/>
          </w:rPr>
          <w:t>240</w:t>
        </w:r>
        <w:r>
          <w:rPr>
            <w:noProof/>
            <w:webHidden/>
          </w:rPr>
          <w:fldChar w:fldCharType="end"/>
        </w:r>
      </w:hyperlink>
    </w:p>
    <w:p w14:paraId="09F51A21" w14:textId="2996B294" w:rsidR="005B42FE" w:rsidRDefault="005B42FE">
      <w:pPr>
        <w:pStyle w:val="Spistreci2"/>
        <w:tabs>
          <w:tab w:val="right" w:leader="dot" w:pos="9396"/>
        </w:tabs>
        <w:rPr>
          <w:rFonts w:eastAsiaTheme="minorEastAsia" w:cstheme="minorBidi"/>
          <w:noProof/>
          <w:kern w:val="2"/>
          <w:sz w:val="24"/>
          <w:szCs w:val="24"/>
          <w14:ligatures w14:val="standardContextual"/>
        </w:rPr>
      </w:pPr>
      <w:hyperlink w:anchor="_Toc237348006" w:history="1">
        <w:r w:rsidRPr="006B7E15">
          <w:rPr>
            <w:rStyle w:val="Hipercze"/>
            <w:rFonts w:ascii="Calibri" w:hAnsi="Calibri"/>
            <w:noProof/>
          </w:rPr>
          <w:t>Priorytet FEMA.13 Fundusze Europejskie dla rozwoju umiejętności w dziedzinie gotowości cywilnej Mazowsza</w:t>
        </w:r>
        <w:r>
          <w:rPr>
            <w:noProof/>
            <w:webHidden/>
          </w:rPr>
          <w:tab/>
        </w:r>
        <w:r>
          <w:rPr>
            <w:noProof/>
            <w:webHidden/>
          </w:rPr>
          <w:fldChar w:fldCharType="begin"/>
        </w:r>
        <w:r>
          <w:rPr>
            <w:noProof/>
            <w:webHidden/>
          </w:rPr>
          <w:instrText xml:space="preserve"> PAGEREF _Toc237348006 \h </w:instrText>
        </w:r>
        <w:r>
          <w:rPr>
            <w:noProof/>
            <w:webHidden/>
          </w:rPr>
        </w:r>
        <w:r>
          <w:rPr>
            <w:noProof/>
            <w:webHidden/>
          </w:rPr>
          <w:fldChar w:fldCharType="separate"/>
        </w:r>
        <w:r w:rsidR="00BE5864">
          <w:rPr>
            <w:noProof/>
            <w:webHidden/>
          </w:rPr>
          <w:t>244</w:t>
        </w:r>
        <w:r>
          <w:rPr>
            <w:noProof/>
            <w:webHidden/>
          </w:rPr>
          <w:fldChar w:fldCharType="end"/>
        </w:r>
      </w:hyperlink>
    </w:p>
    <w:p w14:paraId="1AF80A47" w14:textId="4FEF781B" w:rsidR="005B42FE" w:rsidRDefault="005B42FE">
      <w:pPr>
        <w:pStyle w:val="Spistreci3"/>
        <w:tabs>
          <w:tab w:val="right" w:leader="dot" w:pos="9396"/>
        </w:tabs>
        <w:rPr>
          <w:rFonts w:eastAsiaTheme="minorEastAsia" w:cstheme="minorBidi"/>
          <w:noProof/>
          <w:kern w:val="2"/>
          <w:sz w:val="24"/>
          <w:szCs w:val="24"/>
          <w14:ligatures w14:val="standardContextual"/>
        </w:rPr>
      </w:pPr>
      <w:hyperlink w:anchor="_Toc237348007" w:history="1">
        <w:r w:rsidRPr="006B7E15">
          <w:rPr>
            <w:rStyle w:val="Hipercze"/>
            <w:rFonts w:ascii="Calibri" w:hAnsi="Calibri"/>
            <w:noProof/>
          </w:rPr>
          <w:t>Działanie FEMA.13.01 Gotowość cywilna mieszkańców</w:t>
        </w:r>
        <w:r>
          <w:rPr>
            <w:noProof/>
            <w:webHidden/>
          </w:rPr>
          <w:tab/>
        </w:r>
        <w:r>
          <w:rPr>
            <w:noProof/>
            <w:webHidden/>
          </w:rPr>
          <w:fldChar w:fldCharType="begin"/>
        </w:r>
        <w:r>
          <w:rPr>
            <w:noProof/>
            <w:webHidden/>
          </w:rPr>
          <w:instrText xml:space="preserve"> PAGEREF _Toc237348007 \h </w:instrText>
        </w:r>
        <w:r>
          <w:rPr>
            <w:noProof/>
            <w:webHidden/>
          </w:rPr>
        </w:r>
        <w:r>
          <w:rPr>
            <w:noProof/>
            <w:webHidden/>
          </w:rPr>
          <w:fldChar w:fldCharType="separate"/>
        </w:r>
        <w:r w:rsidR="00BE5864">
          <w:rPr>
            <w:noProof/>
            <w:webHidden/>
          </w:rPr>
          <w:t>245</w:t>
        </w:r>
        <w:r>
          <w:rPr>
            <w:noProof/>
            <w:webHidden/>
          </w:rPr>
          <w:fldChar w:fldCharType="end"/>
        </w:r>
      </w:hyperlink>
    </w:p>
    <w:p w14:paraId="38AF18AA" w14:textId="77777777" w:rsidR="008C42CA" w:rsidRDefault="00EA73AD">
      <w:pPr>
        <w:rPr>
          <w:b/>
          <w:i/>
          <w:sz w:val="28"/>
        </w:rPr>
      </w:pPr>
      <w:r>
        <w:lastRenderedPageBreak/>
        <w:fldChar w:fldCharType="end"/>
      </w:r>
      <w:r>
        <w:br/>
      </w:r>
      <w:r>
        <w:rPr>
          <w:sz w:val="28"/>
        </w:rPr>
        <w:t>II Załączniki</w:t>
      </w:r>
    </w:p>
    <w:p w14:paraId="3052078D" w14:textId="77777777" w:rsidR="008C42CA" w:rsidRDefault="00EA73AD">
      <w:pPr>
        <w:rPr>
          <w:sz w:val="28"/>
        </w:rPr>
      </w:pPr>
      <w:r>
        <w:rPr>
          <w:sz w:val="28"/>
        </w:rPr>
        <w:t>Indykatywna tabela finansowa</w:t>
      </w:r>
    </w:p>
    <w:p w14:paraId="55F8853D" w14:textId="77777777" w:rsidR="008C42CA" w:rsidRDefault="00EA73AD">
      <w:pPr>
        <w:rPr>
          <w:sz w:val="28"/>
        </w:rPr>
      </w:pPr>
      <w:r>
        <w:rPr>
          <w:sz w:val="28"/>
        </w:rPr>
        <w:t>Indykatywna tabela finansowa w podziale na cele polityki, cele szczegółowe i zakres interwencji</w:t>
      </w:r>
    </w:p>
    <w:p w14:paraId="3A1C46E8" w14:textId="77777777" w:rsidR="008C42CA" w:rsidRDefault="008C42CA">
      <w:pPr>
        <w:rPr>
          <w:sz w:val="28"/>
          <w:highlight w:val="magenta"/>
        </w:rPr>
      </w:pPr>
    </w:p>
    <w:p w14:paraId="69D912A3" w14:textId="77777777" w:rsidR="008C42CA" w:rsidRDefault="00EA73AD">
      <w:pPr>
        <w:rPr>
          <w:b/>
          <w:i/>
          <w:sz w:val="44"/>
          <w:highlight w:val="magenta"/>
        </w:rPr>
      </w:pPr>
      <w:r>
        <w:br w:type="page"/>
      </w:r>
    </w:p>
    <w:p w14:paraId="47ACE7AF" w14:textId="77777777" w:rsidR="008C42CA" w:rsidRDefault="00EA73AD">
      <w:pPr>
        <w:pStyle w:val="Nagwek1"/>
        <w:rPr>
          <w:rFonts w:ascii="Calibri" w:hAnsi="Calibri" w:cs="Calibri"/>
        </w:rPr>
      </w:pPr>
      <w:bookmarkStart w:id="0" w:name="_Toc76643858"/>
      <w:bookmarkStart w:id="1" w:name="_Toc237347945"/>
      <w:r>
        <w:rPr>
          <w:rFonts w:ascii="Calibri" w:hAnsi="Calibri" w:cs="Calibri"/>
        </w:rPr>
        <w:lastRenderedPageBreak/>
        <w:t>I Informacje na temat Priorytetów i Działań</w:t>
      </w:r>
      <w:bookmarkEnd w:id="0"/>
      <w:bookmarkEnd w:id="1"/>
    </w:p>
    <w:p w14:paraId="4F40F0B3" w14:textId="77777777" w:rsidR="008C42CA" w:rsidRDefault="008C42CA">
      <w:pPr>
        <w:rPr>
          <w:rFonts w:ascii="Calibri" w:hAnsi="Calibri"/>
        </w:rPr>
      </w:pPr>
    </w:p>
    <w:p w14:paraId="095EF1DA" w14:textId="77777777" w:rsidR="008C42CA" w:rsidRDefault="008C42CA">
      <w:pPr>
        <w:rPr>
          <w:rFonts w:ascii="Calibri" w:hAnsi="Calibri"/>
        </w:rPr>
      </w:pPr>
    </w:p>
    <w:p w14:paraId="1A70DE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b/>
          <w:i/>
          <w:sz w:val="28"/>
          <w:highlight w:val="magenta"/>
        </w:rPr>
      </w:pPr>
      <w:r>
        <w:rPr>
          <w:b/>
          <w:sz w:val="28"/>
        </w:rPr>
        <w:t>Kod i nazwa priorytetu</w:t>
      </w:r>
    </w:p>
    <w:p w14:paraId="7705AE90"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2" w:name="_Toc237347946"/>
      <w:r>
        <w:rPr>
          <w:rFonts w:ascii="Calibri" w:hAnsi="Calibri" w:cs="Calibri"/>
          <w:i w:val="0"/>
          <w:sz w:val="32"/>
        </w:rPr>
        <w:t>Priorytet FEMA.01 Fundusze Europejskie dla bardziej konkurencyjnego i inteligentnego Mazowsza</w:t>
      </w:r>
      <w:bookmarkEnd w:id="2"/>
    </w:p>
    <w:p w14:paraId="3006B4B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C4F81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611EA4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6F9325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7B05F0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2DD8536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CP1 - Bardziej konkurencyjna i inteligentna Europa dzięki wspieraniu innowacyjnej i inteligentnej transformacji gospodarczej oraz regionalnej łączności cyfrowej</w:t>
      </w:r>
    </w:p>
    <w:p w14:paraId="5F05A2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762ED5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7DC0B4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64CC79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263 138 947,00</w:t>
      </w:r>
    </w:p>
    <w:p w14:paraId="134D318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137101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177 658 000,00</w:t>
      </w:r>
    </w:p>
    <w:p w14:paraId="715DCF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36F1925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37,31</w:t>
      </w:r>
    </w:p>
    <w:p w14:paraId="6C8826B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3E411D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62,69</w:t>
      </w:r>
    </w:p>
    <w:p w14:paraId="630D29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B1109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7A5987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6D6CC79"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 w:name="_Toc237347947"/>
      <w:r>
        <w:rPr>
          <w:rFonts w:ascii="Calibri" w:hAnsi="Calibri" w:cs="Calibri"/>
          <w:sz w:val="32"/>
        </w:rPr>
        <w:lastRenderedPageBreak/>
        <w:t>Działanie FEMA.01.01 Badania, rozwój i innowacje przedsiębiorstw</w:t>
      </w:r>
      <w:bookmarkEnd w:id="3"/>
    </w:p>
    <w:p w14:paraId="496EFD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1F16C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 - Rozwijanie i wzmacnianie zdolności badawczych i innowacyjnych oraz wykorzystywanie zaawansowanych technologii</w:t>
      </w:r>
    </w:p>
    <w:p w14:paraId="65E896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6F48A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E6E50E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921C2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101 873 940,00</w:t>
      </w:r>
    </w:p>
    <w:p w14:paraId="5F22E4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8989C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60 772 000,00</w:t>
      </w:r>
    </w:p>
    <w:p w14:paraId="71B94B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C99BA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innowacyjnymi, 004 - Inwestycje w środki trwałe, w tym infrastrukturę badawczą, w publicznych organizacjach badawczych i instytucjach szkolnictwa wyższego bezpośrednio związane z działaniami badawczymi i innowacyjnymi, 009 - Działania badawcze i innowacyjne w mikroprzedsiębiorstwach, w tym tworzenie sieci kontaktów (badania przemysłowe, eksperymentalne prace rozwojowe, studia wykonalności), 010 - Działania badawcze i innowacyjne w MŚP, w tym tworzenie sieci kontaktów, 011 - Działania badawcze i innowacyjne w dużych przedsiębiorstwach, w tym tworzenie sieci kontaktów, 026 - Wsparcie dla klastrów innowacyjnych, w tym między przedsiębiorstwami, organizacjami badawczymi i organami publicznymi oraz sieciami biznesowymi, z korzyścią głównie dla MŚP</w:t>
      </w:r>
    </w:p>
    <w:p w14:paraId="6082EB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99052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Projekty badawczo-rozwojowe;</w:t>
      </w:r>
      <w:r>
        <w:br/>
        <w:t>2.</w:t>
      </w:r>
      <w:r>
        <w:tab/>
        <w:t>Projekty modułowe;</w:t>
      </w:r>
      <w:r>
        <w:br/>
        <w:t>3.</w:t>
      </w:r>
      <w:r>
        <w:tab/>
        <w:t>Infrastruktura badawczo-rozwojowa przedsiębiorstw;</w:t>
      </w:r>
      <w:r>
        <w:br/>
        <w:t>4.</w:t>
      </w:r>
      <w:r>
        <w:tab/>
        <w:t>Infrastruktura badawczo-rozwojowa jednostek naukowych;</w:t>
      </w:r>
      <w:r>
        <w:br/>
        <w:t>5.</w:t>
      </w:r>
      <w:r>
        <w:tab/>
        <w:t>Rozwój potencjału mazowieckich klastrów;</w:t>
      </w:r>
      <w:r>
        <w:br/>
        <w:t>6.</w:t>
      </w:r>
      <w:r>
        <w:tab/>
        <w:t>Pilotaż instrumentu dla niedoświadczonych firm z RMR.</w:t>
      </w:r>
      <w:r>
        <w:br/>
        <w:t xml:space="preserve">W typie projektu: Projekty badawczo-rozwojowe wspierane będą projekty obejmujące jedynie prace B+R, prowadzone przez przedsiębiorstwa samodzielnie lub poprzez zlecenie zewnętrznemu wykonawcy </w:t>
      </w:r>
      <w:r>
        <w:lastRenderedPageBreak/>
        <w:t>(np. organizacji badawczej) lub we współpracy/w partnerstwie z organizacją badawczą. Prace B+R muszą prowadzić do wdrożenia ich wyników w działalności gospodarczej  (w przypadku pozytywnego wyniku prac).</w:t>
      </w:r>
      <w:r>
        <w:br/>
        <w:t>Premiowane mogą być projekty realizowane przez przedsiębiorców, szczególnie z RMR, we współpracy z organizacjami badawczymi/podmiotami posiadającymi doświadczenie w B+R, mające na celu zapewnienie dyfuzji innowacji i transfer technologii z sektora nauki do sektora przedsiębiorstw.</w:t>
      </w:r>
      <w:r>
        <w:br/>
        <w:t xml:space="preserve">Typ: Projekty modułowe obejmuje cały proces tworzenia i wdrażania innowacji lub jego wybrane elementy, zakończony wdrożeniem wyników prac B+R w działalności gospodarczej (prace B+R stanowią element obowiązkowy). </w:t>
      </w:r>
      <w:r>
        <w:br/>
        <w:t xml:space="preserve">Elementy projektu modułowego: </w:t>
      </w:r>
      <w:r>
        <w:br/>
        <w:t>•</w:t>
      </w:r>
      <w:r>
        <w:tab/>
        <w:t>doradztwo,</w:t>
      </w:r>
      <w:r>
        <w:br/>
        <w:t>•</w:t>
      </w:r>
      <w:r>
        <w:tab/>
        <w:t>prace B+R przedsiębiorstw, w tym z udziałem sektora nauki,</w:t>
      </w:r>
      <w:r>
        <w:br/>
        <w:t>•</w:t>
      </w:r>
      <w:r>
        <w:tab/>
        <w:t>infrastruktura B+R,</w:t>
      </w:r>
      <w:r>
        <w:br/>
        <w:t>•</w:t>
      </w:r>
      <w:r>
        <w:tab/>
        <w:t>prace przedwdrożeniowe,</w:t>
      </w:r>
      <w:r>
        <w:br/>
        <w:t>•</w:t>
      </w:r>
      <w:r>
        <w:tab/>
        <w:t>wdrożenie wyników prac B+R,</w:t>
      </w:r>
      <w:r>
        <w:br/>
        <w:t>•</w:t>
      </w:r>
      <w:r>
        <w:tab/>
        <w:t>nabywanie przez pracowników kompetencji oraz kwalifikacji.</w:t>
      </w:r>
      <w:r>
        <w:br/>
        <w:t xml:space="preserve">W odniesieniu do przedsięwzięć wspieranych w ramach ww. działań zastosowanie będą mieć następujące zasady: </w:t>
      </w:r>
      <w:r>
        <w:br/>
        <w:t>•</w:t>
      </w:r>
      <w:r>
        <w:tab/>
        <w:t xml:space="preserve">W ramach projektu modułowego możliwa jest realizacja wybranych modułów, przy czym moduł B+R jest obowiązkowy i musi prowadzić do wdrożenia wyników prac B+R w działalności gospodarczej (pod warunkiem pozytywnego wyniku prac B+R). </w:t>
      </w:r>
      <w:r>
        <w:br/>
        <w:t>•</w:t>
      </w:r>
      <w:r>
        <w:tab/>
        <w:t>Efektem projektu B+R powinno być innowacyjne rozwiązanie możliwe do wykorzystania gospodarczego.</w:t>
      </w:r>
      <w:r>
        <w:br/>
        <w:t>•</w:t>
      </w:r>
      <w:r>
        <w:tab/>
        <w:t>Finansowane będą projekty obejmujące badania przemysłowe i eksperymentalne prace rozwojowe (projekt bez eksperymentalnych prac rozwojowych nie uzyska dofinansowania), ukierunkowane na badania stosowane i wpisujące się w priorytetowe kierunki badań zawarte w odpowiednim dokumencie kierunkowym dla RIS 2030.</w:t>
      </w:r>
      <w:r>
        <w:br/>
        <w:t>•</w:t>
      </w:r>
      <w:r>
        <w:tab/>
        <w:t>Finansowanie działań związanych z fazą wdrożenia wyników prac B+R wychodzących poza zakres badań przemysłowych i eksperymentalnych prac rozwojowych (zgodnie z definicją z Rozporządzenia Komisji (UE) nr 651/2014 z dnia 17 czerwca 2014 r. uznającego niektóre rodzaje pomocy za zgodne z rynkiem wewnętrznym w zastosowaniu art. 107 i 108 Traktatu GBER) możliwe będzie w ramach dotacji warunkowej. Parametry dotacji warunkowej będą preferencyjne dla MŚP.</w:t>
      </w:r>
      <w:r>
        <w:br/>
        <w:t>•</w:t>
      </w:r>
      <w:r>
        <w:tab/>
        <w:t>W przypadku modułu  dotyczącego podnoszenia kompetencji oraz kwalifikacji kwalifikowalne będą koszty dotyczące pracowników wykonujących zadania związane z pracami B+R. Nabywanie kwalifikacji powinno dotyczyć w szczególności  zakresu inteligentnej specjalizacji, przedsiębiorczości, cyfrowej i niskoemisyjnej transformacji przemysłu, transferu technologii, innowacyjnych modeli biznesowych, zarządzania innowacjami, ekoprojektowania, a także kompetencji niezbędnych do obsługi infrastruktury badawczej sfinansowanej w ramach projektu oraz komercjalizacji.</w:t>
      </w:r>
      <w:r>
        <w:br/>
        <w:t>•</w:t>
      </w:r>
      <w:r>
        <w:tab/>
        <w:t xml:space="preserve">Wsparcie przedsiębiorstw innych niż MŚP będzie udzielane pod warunkiem  współpracy Wnioskodawcy z przedsiębiorstwami z sektora MŚP, zgodnie z zapisami art. 5.2 Rozporządzenia Parlamentu Europejskiego i Rady (UE) 2021/1058 z dnia 24 czerwca 2021 r. w sprawie Europejskiego Funduszu Rozwoju Regionalnego i Funduszu Spójności (Rozporządzenie EFRR/FS).  </w:t>
      </w:r>
      <w:r>
        <w:br/>
      </w:r>
      <w:r>
        <w:lastRenderedPageBreak/>
        <w:t>Premiowane mogą być projekty realizowane przez przedsiębiorców, szczególnie z RMR, we współpracy z organizacjami badawczymi/podmiotami posiadającymi doświadczenie w B+R, mające na celu zapewnienie dyfuzji innowacji i transfer technologii z sektora nauki do sektora przedsiębiorstw.</w:t>
      </w:r>
      <w:r>
        <w:br/>
        <w:t>Projekty typu: Infrastruktura badawczo-rozwojowa przedsiębiorstw będą obejmowały:</w:t>
      </w:r>
      <w:r>
        <w:br/>
        <w:t>•</w:t>
      </w:r>
      <w:r>
        <w:tab/>
        <w:t>zakup i/lub wytworzenie aparatury, sprzętu, technologii i innej niezbędnej infrastruktury służącej prowadzeniu prac B+R w celu tworzenia innowacyjnych produktów i usług. Wspierane będzie utworzenie lub rozwój w przedsiębiorstwie działu B+R/laboratorium lub utworzenie centrum badawczo-rozwojowego.</w:t>
      </w:r>
      <w:r>
        <w:br/>
        <w:t>•</w:t>
      </w:r>
      <w:r>
        <w:tab/>
        <w:t>usługi niezbędne do podnoszenia kompetencji pracowników, mające na celu pełne wykorzystanie ww. sprzętu, aparatury, infrastruktury,</w:t>
      </w:r>
      <w:r>
        <w:br/>
        <w:t>•</w:t>
      </w:r>
      <w:r>
        <w:tab/>
        <w:t xml:space="preserve">niezbędne prace budowlane tj. prace polegające na budowie i/lub rozbudowie zaplecza B+R, w tym prace adaptacyjno-dostosowawcze, </w:t>
      </w:r>
      <w:r>
        <w:br/>
        <w:t>•</w:t>
      </w:r>
      <w:r>
        <w:tab/>
        <w:t>zakup aparatury specjalistycznej niezbędnej do prowadzenia prac B+R, uzupełniającej posiadane zasoby.</w:t>
      </w:r>
      <w:r>
        <w:br/>
        <w:t xml:space="preserve">Warunkiem wsparcia jest przedstawienie agendy badawczej, która będzie realizowana na nabytej infrastrukturze ukierunkowanej na badania stosowane wpisujące się w priorytetowe kierunki badań zawarte w odpowiednim dokumencie kierunkowym dla RIS 2030. </w:t>
      </w:r>
      <w:r>
        <w:br/>
        <w:t>Projekty typu: Infrastruktura badawczo-rozwojowa jednostek naukowych będą obejmowały:</w:t>
      </w:r>
      <w:r>
        <w:br/>
        <w:t>•</w:t>
      </w:r>
      <w:r>
        <w:tab/>
        <w:t>rozbudowę lub modernizację infrastruktury B+R jednostek naukowych,</w:t>
      </w:r>
      <w:r>
        <w:br/>
        <w:t>•</w:t>
      </w:r>
      <w:r>
        <w:tab/>
        <w:t>rozwijanie kompetencji biznesowych kadry operatorów infrastruktury badawczej zakupionej w ramach projektu .</w:t>
      </w:r>
      <w:r>
        <w:br/>
        <w:t xml:space="preserve">W odniesieniu do przedsięwzięć wspieranych w ramach ww. typu zastosowanie będą mieć następujące zasady: </w:t>
      </w:r>
      <w:r>
        <w:br/>
        <w:t>•</w:t>
      </w:r>
      <w:r>
        <w:tab/>
        <w:t>Wspierane będą projekty jednostek naukowych realizujących badania ukierunkowane na komercjalizację i współpracę z przedsiębiorstwami, odpowiadające potrzebom przedsiębiorców.</w:t>
      </w:r>
      <w:r>
        <w:br/>
        <w:t>•</w:t>
      </w:r>
      <w:r>
        <w:tab/>
        <w:t>Warunkiem otrzymania dofinansowania jest współpraca i osiąganie przez JN przychodów z sektora przedsiębiorstw.</w:t>
      </w:r>
      <w:r>
        <w:br/>
        <w:t>•</w:t>
      </w:r>
      <w:r>
        <w:tab/>
        <w:t xml:space="preserve">Infrastruktura będzie dostępna dla innych podmiotów np. przedsiębiorców lub organizacji badawczych na przejrzystych i niedyskryminacyjnych zasadach. </w:t>
      </w:r>
      <w:r>
        <w:br/>
        <w:t>•</w:t>
      </w:r>
      <w:r>
        <w:tab/>
        <w:t>Wspierane będą wyłącznie projekty spełniające kryterium określone w UP 2021-2027 tj.: projekt służy realizacji agendy badawczej, której zakres jest zgodny z regionalną inteligentną specjalizacją (zgodność z priorytetowymi kierunkami badan zawartymi w odpowiednim dokumencie kierunkowym dla RIS 2030) i został zaopiniowany przez ministra właściwego do spraw rozwoju regionalnego oraz ministra właściwego do spraw szkolnictwa wyższego i nauki na warunkach i w trybie określonym w Kontrakcie Programowym dla Województwa Mazowieckiego.</w:t>
      </w:r>
      <w:r>
        <w:br/>
        <w:t>•</w:t>
      </w:r>
      <w:r>
        <w:tab/>
        <w:t>Wartość kosztów kwalifikowalnych szacowanych na moment składania wniosku o uzgodnienie danego przedsięwzięcia musi być wyższa niż 500 000 PLN.</w:t>
      </w:r>
      <w:r>
        <w:br/>
        <w:t xml:space="preserve"> W typie projektu: Rozwój potencjału mazowieckich klastrów będą realizowane przedsięwzięcia nakierowane na poprawę procesów zarządzania klastrami  i profesjonalizację działalności koordynatorów klastrów celem rozwoju innowacyjnej oferty usługowej.  W szczególności dotyczy to oferty w takich obszarach strategicznych, jak: transformacja cyfrowa, gospodarka o obiegu zamkniętym (GOZ), gospodarka niskoemisyjna.</w:t>
      </w:r>
      <w:r>
        <w:br/>
      </w:r>
      <w:r>
        <w:lastRenderedPageBreak/>
        <w:t xml:space="preserve">Zastosowanie będą mieć następujące zasady: </w:t>
      </w:r>
      <w:r>
        <w:br/>
        <w:t>•</w:t>
      </w:r>
      <w:r>
        <w:tab/>
        <w:t xml:space="preserve">Wsparcie będzie realizowane wyłącznie dla klastrów zalążkowych i klastrów wzrostowych o charakterze regionalnym. </w:t>
      </w:r>
      <w:r>
        <w:br/>
        <w:t>•</w:t>
      </w:r>
      <w:r>
        <w:tab/>
        <w:t xml:space="preserve">Wymagane jest wykazanie związku pomiędzy projektem a regionalną inteligentną specjalizacją określoną w RIS 2030.  </w:t>
      </w:r>
      <w:r>
        <w:br/>
        <w:t xml:space="preserve">Preferowany jest rozwój usług klastra adresowanych do przedsiębiorców zamierzających wprowadzić innowacje w obszarach: Przemysłu 4.0, GOZ, niskoemisyjności, transformacji cyfrowej. </w:t>
      </w:r>
      <w:r>
        <w:br/>
        <w:t>W typie projektu: Pilotaż instrumentu dla niedoświadczonych firm z RMR wsparcie obejmie przedsięwzięcia polegające na realizacji prac B+R przy obowiązkowej współpracy z organizacją badawczą, nakierowanych na opracowanie nowego produktu lub usługi, nowej technologii produkcji albo znaczące ulepszenie wyrobu końcowego lub technologii produkcji.</w:t>
      </w:r>
      <w:r>
        <w:br/>
      </w:r>
      <w:r>
        <w:br/>
        <w:t>Preferencje punktowe mogą być stosowane w projektach uczestników i podmiotów zaangażowanych we współpracę o zasięgu międzyregionalnym lub międzynarodowym.</w:t>
      </w:r>
      <w:r>
        <w:br/>
        <w:t>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 xml:space="preserve">Finansowane będą projekty obejmujące badania stosowane wpisujące się w priorytetowe kierunki badań zawarte w odpowiednim dokumencie kierunkowym dla RIS 2030. </w:t>
      </w:r>
      <w:r>
        <w:br/>
        <w:t>Maksymalny poziom dofinansowania wydatków kwalifikowalnych w projekcie (środki UE) wyniesie:</w:t>
      </w:r>
      <w:r>
        <w:br/>
        <w:t>•</w:t>
      </w:r>
      <w:r>
        <w:tab/>
        <w:t>w regionie Mazowieckim regionalnym – 85%,</w:t>
      </w:r>
      <w:r>
        <w:br/>
        <w:t>•</w:t>
      </w:r>
      <w:r>
        <w:tab/>
        <w:t>w regionie Warszawskim stołecznym – 50%.</w:t>
      </w:r>
    </w:p>
    <w:p w14:paraId="50C1A3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FB3C6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EE08BB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75BA76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3199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3EC95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minimis (Dz. Urz. UE L z 15.12.2023), Rozporządzenie Komisji (UE) nr 651/2014 z dnia 17 czerwca 2014 r. uznające niektóre </w:t>
      </w:r>
      <w:r>
        <w:lastRenderedPageBreak/>
        <w:t>rodzaje pomocy za zgodne z rynkiem wewnętrznym w zastosowaniu art. 107 i 108 Traktatu (Dz. Urz. UE L 187 z 26.06.2014, str. 1, z późn. zm.)</w:t>
      </w:r>
    </w:p>
    <w:p w14:paraId="662FA0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C2B23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 Rozporządzenie Ministra Funduszy i Polityki Regionalnej z dnia 28 lipca 2023 r. w sprawie udzielania pomocy szkoleniowej w zakresie celu polityki CP1 oraz celu szczegółowego Funduszu na rzecz Sprawiedliwej Transformacji w ramach regionalnych programów na lata 2021–2027 (Dz.U. 2023 poz. 1649), Rozporządzenie Ministra Funduszy i Polityki Regionalnej z dnia 29 listopada 2022 r. w sprawie udzielania pomocy inwestycyjnej na infrastrukturę badawczą w ramach regionalnych programów na lata 2021–2027 (Dz.U. 2022 poz. 2498), Rozporządzenie Ministra Funduszy i Polityki Regionalnej z dnia 29 listopada 2022 r. w sprawie udzielania pomocy na badania przemysłowe, eksperymentalne prace rozwojowe oraz studia wykonalności w ramach regionalnych programów na lata 2021–2027 (Dz.U. 2022 poz. 2573)</w:t>
      </w:r>
    </w:p>
    <w:p w14:paraId="2DFFFF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0EF9C4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15% stawka ryczałtowa na koszty pośrednie (podstawa wyliczenia: koszty bezpośrednie personelu) [art. 54(b) CPR], do 7% stawka ryczałtowa na koszty pośrednie (podstawa wyliczenia: koszty bezpośrednie) [art. 54(a) CPR]</w:t>
      </w:r>
    </w:p>
    <w:p w14:paraId="134B36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782E6C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3DBA3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1C28BF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62458A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0EE77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776BD43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EBA782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52A09FB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71C6C8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87C35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0130F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Instytucje nauki i edukacji, Partnerstwa, Przedsiębiorstwa</w:t>
      </w:r>
    </w:p>
    <w:p w14:paraId="264C06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D9E99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Jednostki naukowe, Klastry, Konsorcja naukowe, Konsorcja naukowo-przemysłowe, MŚP, Organizacje badawcze</w:t>
      </w:r>
    </w:p>
    <w:p w14:paraId="586536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DDCE04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 badania, badania_i_rozwój, infrastruktura_badawcza, klastry</w:t>
      </w:r>
    </w:p>
    <w:p w14:paraId="5D94BB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DEB7C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3E0EF6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F1F9381" w14:textId="7C8DA9F6"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7" w:history="1">
        <w:r w:rsidRPr="005B2474">
          <w:rPr>
            <w:rStyle w:val="Hipercze"/>
          </w:rPr>
          <w:t>https://funduszeuedlamazowsza.eu/uchwaly-km-fem/</w:t>
        </w:r>
      </w:hyperlink>
    </w:p>
    <w:p w14:paraId="596AA5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B4B31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3EB8C6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WLWK-PLRO159 - Liczba przedsiębiorstw wspartych w zakresie realizacji prac B+R </w:t>
      </w:r>
    </w:p>
    <w:p w14:paraId="51AF01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WLWK-PLRO007 - Liczba realizowanych projektów B+R</w:t>
      </w:r>
    </w:p>
    <w:p w14:paraId="41E629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35C1243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WLWK-PLRO018 - Liczba wspartych klastrów</w:t>
      </w:r>
    </w:p>
    <w:p w14:paraId="4D9866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WLWK-PLRO005 - Liczba wspartych laboratoriów badawczych</w:t>
      </w:r>
    </w:p>
    <w:p w14:paraId="6AB0292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32755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16F48B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3E922D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WLWK-RCO096 - Międzyregionalne inwestycje na rzecz innowacji w projektach unijnych</w:t>
      </w:r>
    </w:p>
    <w:p w14:paraId="08F2D3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WLWK-RCO006 - Naukowcy pracujący we wspieranych obiektach badawczych</w:t>
      </w:r>
    </w:p>
    <w:p w14:paraId="6695B1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WLWK-RCO008 - Nominalna wartość sprzętu na potrzeby badań naukowych i innowacji</w:t>
      </w:r>
    </w:p>
    <w:p w14:paraId="17C8F5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WLWK-RCO007 - Organizacje badawcze uczestniczące we wspólnych projektach badawczych</w:t>
      </w:r>
    </w:p>
    <w:p w14:paraId="13874D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48B95B9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WLWK-RCO010 - Przedsiębiorstwa współpracujące z organizacjami badawczymi</w:t>
      </w:r>
    </w:p>
    <w:p w14:paraId="09FBD51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D2A01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WLWK-PLRR077 - Liczba przedsiębiorstw korzystających ze wspartej infrastruktury badawczej</w:t>
      </w:r>
    </w:p>
    <w:p w14:paraId="6F7E31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WLWK-PLRR008 - Liczba przedsiębiorstw zaangażowanych we wsparte klastry</w:t>
      </w:r>
    </w:p>
    <w:p w14:paraId="574328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WLWK-PLRR025 - Małe i średnie przedsiębiorstwa (MŚP) wprowadzające innowacje procesowe</w:t>
      </w:r>
    </w:p>
    <w:p w14:paraId="4664AC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WLWK-PLRR024 - Małe i średnie przedsiębiorstwa (MŚP) wprowadzające innowacje produktowe</w:t>
      </w:r>
    </w:p>
    <w:p w14:paraId="1F35D2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WLWK-RCR102 - Miejsca pracy dla naukowców utworzone we wspieranych jednostkach</w:t>
      </w:r>
    </w:p>
    <w:p w14:paraId="6ED609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244290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WLWK-PLRR026 - MŚP wprowadzające innowacje marketingowe</w:t>
      </w:r>
    </w:p>
    <w:p w14:paraId="289D44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WLWK-PLRR027 - MŚP wprowadzające innowacje organizacyjne</w:t>
      </w:r>
    </w:p>
    <w:p w14:paraId="34624C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WLWK-RCR005 - MŚP wprowadzające innowacje wewnątrz przedsiębiorstwa</w:t>
      </w:r>
    </w:p>
    <w:p w14:paraId="3A23FF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WLWK-PLRR058 - Pracownicy MŚP kończący szkolenia w zakresie rozwoju umiejętności w zakresie inteligentnej specjalizacji, transformacji przemysłowej i przedsiębiorczości (według rodzaju umiejętności:  inne)</w:t>
      </w:r>
    </w:p>
    <w:p w14:paraId="1207371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WLWK-PLRR056 - Pracownicy MŚP kończący szkolenia w zakresie rozwoju umiejętności w zakresie inteligentnej specjalizacji, transformacji przemysłowej i przedsiębiorczości (według rodzaju umiejętności:  przedsiębiorczość)</w:t>
      </w:r>
    </w:p>
    <w:p w14:paraId="39D97E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WLWK-PLRR057 - Pracownicy MŚP kończący szkolenia w zakresie rozwoju umiejętności w zakresie inteligentnej specjalizacji, transformacji przemysłowej i przedsiębiorczości (według rodzaju umiejętności: ekologiczne)</w:t>
      </w:r>
    </w:p>
    <w:p w14:paraId="67C53C2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WLWK-PLRR054 - Pracownicy MŚP kończący szkolenia w zakresie rozwoju umiejętności w zakresie inteligentnej specjalizacji, transformacji przemysłowej i przedsiębiorczości (według rodzaju umiejętności: techniczne)</w:t>
      </w:r>
    </w:p>
    <w:p w14:paraId="14A225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WLWK-PLRR055 - Pracownicy MŚP kończący szkolenia w zakresie rozwoju umiejętności w zakresie inteligentnej specjalizacji, transformacji przemysłowej i przedsiębiorczości (według rodzaju umiejętności: zarządzanie)</w:t>
      </w:r>
    </w:p>
    <w:p w14:paraId="2B7604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69845E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WLWK-PLRR001 - Wartość nakładów na działalność B+R we wspartych przedsiębiorstwach </w:t>
      </w:r>
    </w:p>
    <w:p w14:paraId="162EE5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WLWK-RCR007 - Wnioski w zakresie znaków towarowych oraz wzorów</w:t>
      </w:r>
    </w:p>
    <w:p w14:paraId="20330D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WLWK-RCR006 - Złożone wnioski patentowe</w:t>
      </w:r>
    </w:p>
    <w:p w14:paraId="618DE63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BC5CEE2"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 w:name="_Toc237347948"/>
      <w:r>
        <w:rPr>
          <w:rFonts w:ascii="Calibri" w:hAnsi="Calibri" w:cs="Calibri"/>
          <w:sz w:val="32"/>
        </w:rPr>
        <w:t>Działanie FEMA.01.02 E-usługi</w:t>
      </w:r>
      <w:bookmarkEnd w:id="4"/>
    </w:p>
    <w:p w14:paraId="0E9E74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FD874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 - Czerpanie korzyści z cyfryzacji dla obywateli, przedsiębiorstw, organizacji badawczych i instytucji publicznych</w:t>
      </w:r>
    </w:p>
    <w:p w14:paraId="5E0737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5F5335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ABFE9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F602E6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73 655 888,00</w:t>
      </w:r>
    </w:p>
    <w:p w14:paraId="57E0BF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41F26B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55 640 000,00</w:t>
      </w:r>
    </w:p>
    <w:p w14:paraId="1A1CB0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9B52B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016 - Rozwiązania TIK, usługi elektroniczne, aplikacje dla administracji, 019 - Usługi i aplikacje w zakresie e-zdrowia (w tym e-opieka, internet rzeczy w zakresie aktywności fizycznej i nowoczesnych technologii w służbie osobom starszym)</w:t>
      </w:r>
    </w:p>
    <w:p w14:paraId="164C52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90853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E-administracja</w:t>
      </w:r>
      <w:r>
        <w:br/>
        <w:t>2.</w:t>
      </w:r>
      <w:r>
        <w:tab/>
        <w:t>E-kultura,</w:t>
      </w:r>
      <w:r>
        <w:br/>
        <w:t>3.</w:t>
      </w:r>
      <w:r>
        <w:tab/>
        <w:t>E-zdrowie</w:t>
      </w:r>
      <w:r>
        <w:br/>
        <w:t>Wsparciem objęte będą m. in. projekty:</w:t>
      </w:r>
      <w:r>
        <w:br/>
        <w:t>1.</w:t>
      </w:r>
      <w:r>
        <w:tab/>
        <w:t>Rozwiązania cyfrowe dla mazowieckiej administracji;</w:t>
      </w:r>
      <w:r>
        <w:br/>
        <w:t>2.</w:t>
      </w:r>
      <w:r>
        <w:tab/>
        <w:t>Kultura w chmurach;</w:t>
      </w:r>
      <w:r>
        <w:br/>
        <w:t>3.</w:t>
      </w:r>
      <w:r>
        <w:tab/>
        <w:t>E-zdrowie dla Mazowsza 3;</w:t>
      </w:r>
      <w:r>
        <w:br/>
        <w:t>4.</w:t>
      </w:r>
      <w:r>
        <w:tab/>
        <w:t>Smart Villages 2</w:t>
      </w:r>
      <w:r>
        <w:br/>
        <w:t xml:space="preserve">W odniesieniu do przedsięwzięć wspieranych w ramach ww. działań zastosowanie będą mieć następujące zasady: </w:t>
      </w:r>
      <w:r>
        <w:br/>
        <w:t>•</w:t>
      </w:r>
      <w:r>
        <w:tab/>
        <w:t>Projekty w zakresie e-usług będą realizowane zgodnie z zaleceniami zawartymi w Pryncypiach Architektury Informacyjnej przyjętych przez Radę Architektury IT,</w:t>
      </w:r>
      <w:r>
        <w:br/>
        <w:t>•</w:t>
      </w:r>
      <w:r>
        <w:tab/>
        <w:t>Projekty będą realizowane zgodnie z zasadami wskazanymi w Programie Zintegrowanej Informatyzacji Państwa oraz Deklaracji tallińskiej, w tym: domyślności cyfrowej, jednorazowości, powszechności i dostępności, otwartości i przejrzystości, domyślnej transgraniczności i interoperacyjności oraz niezawodności i bezpieczeństwa,</w:t>
      </w:r>
      <w:r>
        <w:br/>
        <w:t>•</w:t>
      </w:r>
      <w:r>
        <w:tab/>
        <w:t>W produktach, usługach, systemach i narzędziach informatycznych będących efektem realizacji projektów wymagana będzie dostępność cyfrowa na poziomie standardu WCAG 2.1. na poziomie AA, a pozytywna realizacja cyfrowego standardu dostępności będzie warunkiem brzegowym,</w:t>
      </w:r>
      <w:r>
        <w:br/>
        <w:t>•</w:t>
      </w:r>
      <w:r>
        <w:tab/>
        <w:t>Rozwiązania będą dostosowane do Dyrektywy UE 2019/1024, interoperacyjne z systemami krajowymi (np. KRONIK@) oraz będą wpisywać się w cele określone w zaleceniu Komisji (UE) 2021/1970,</w:t>
      </w:r>
      <w:r>
        <w:br/>
        <w:t>•</w:t>
      </w:r>
      <w:r>
        <w:tab/>
        <w:t>Projekty polegające na dostosowaniu systemów informatycznych świadczeniodawców do wymiany z Systemem Informacji Medycznej będą weryfikowane pod kątem komplementarności i interoperacyjności  oraz niedublowania funkcjonalności przewidzianych w krajowych platformach (P1 i P2),</w:t>
      </w:r>
      <w:r>
        <w:br/>
        <w:t>•</w:t>
      </w:r>
      <w:r>
        <w:tab/>
        <w:t xml:space="preserve">Wszystkie planowane do wdrożenia e-usługi, w tym z zakresu ochrony zdrowia, będą zgodne z Dyrektywą Parlamentu Europejskiego i Rady (UE) 2016/2102 z dnia 26 października 2016 r. w sprawie dostępności stron internetowych i mobilnych aplikacji organów sektora publicznego oraz Dyrektywą Parlamentu Europejskiego i Rady (UE) 2019/882 z dnia 17 kwietnia 2019 r. w sprawie wymogów </w:t>
      </w:r>
      <w:r>
        <w:lastRenderedPageBreak/>
        <w:t xml:space="preserve">dostępności produktów i usług (Europejski Akt Dostępności), </w:t>
      </w:r>
      <w:r>
        <w:br/>
        <w:t>•</w:t>
      </w:r>
      <w:r>
        <w:tab/>
        <w:t>Projekty z zakresu geodezji będą musiały uzyskać (przed złożeniem wniosku) pozytywną opinię Głównego Geodety Kraju,</w:t>
      </w:r>
      <w:r>
        <w:br/>
        <w:t>•</w:t>
      </w:r>
      <w:r>
        <w:tab/>
        <w:t xml:space="preserve">Poprzez realizację  proponowanych projektów w obszarach e-administracji, e-kultury i e-zdrowia dostarczone zostaną nowe lub znacząco zmodernizowane usługi dla obywateli w pełni dostępne online, </w:t>
      </w:r>
      <w:r>
        <w:br/>
        <w:t>•</w:t>
      </w:r>
      <w:r>
        <w:tab/>
        <w:t>Inwestycje muszą posiadać element innowacyjny dotyczący rozwiązań informatycznych (elementy SI, aplikacje na urządzenia mobilne, chmura obliczeniowa, udostępnianie publicznych danych poprzez API),</w:t>
      </w:r>
      <w:r>
        <w:br/>
        <w:t>•</w:t>
      </w:r>
      <w:r>
        <w:tab/>
        <w:t>Inwestycje w infrastrukturę informatyczną będą uzasadnione celami projektu oraz analizą wskazującą na brak wystarczających zasobów w administracji publicznej niezbędnych do tworzenia, wdrażania lub funkcjonowania e-usług publicznych,</w:t>
      </w:r>
      <w:r>
        <w:br/>
        <w:t>•</w:t>
      </w:r>
      <w:r>
        <w:tab/>
        <w:t>Wspierane rozwiązania cyfrowe polegające na monitorowaniu i optymalizacji procesów z obszaru rozwoju inteligentnych miast (smart cities), wsi i rolnictwa (smart farming), Internetu rzeczy, blockchain/ rozproszonych rejestrów, platform e-usług i innych muszą odpowiadać na specyficzne i indywidualne potrzeby oraz problemy regionu/ danego obszaru.</w:t>
      </w:r>
      <w:r>
        <w:br/>
        <w:t>Kwalifikowalne do dofinansowania będą: działania związane z realizacją projektów w obszarach:</w:t>
      </w:r>
      <w:r>
        <w:br/>
        <w:t xml:space="preserve">E-administracja </w:t>
      </w:r>
      <w:r>
        <w:br/>
        <w:t xml:space="preserve">Zakres projektu będzie obejmował m.in: </w:t>
      </w:r>
      <w:r>
        <w:br/>
        <w:t>•</w:t>
      </w:r>
      <w:r>
        <w:tab/>
        <w:t xml:space="preserve">Zakup infrastruktury techniczno-informatycznej niezbędnej do transformacji cyfrowej administracji JST WM, wraz instalacją i konfiguracją zapewniającą prawidłowe działanie, a także świadczenie usług wsparcia technicznego, gwarancji i rękojmi. </w:t>
      </w:r>
      <w:r>
        <w:br/>
        <w:t>•</w:t>
      </w:r>
      <w:r>
        <w:tab/>
        <w:t>Opracowanie projektu i wyposażenie Data Center pod nazwą Wojewódzkiego Centrum Usług Teleinformatycznych (WCUT), projekt i budowa sieci WAN zapewniającej połączenia między Partnerami i Data Center, udostępnienie jednostkom samorządów terytorialnych województwa mazowieckiego usług chmurowych, opracowanie procesów i procedur formalno-prawnych działania i udostępniania zasobów Data Center.</w:t>
      </w:r>
      <w:r>
        <w:br/>
        <w:t>•</w:t>
      </w:r>
      <w:r>
        <w:tab/>
        <w:t>Zakup i wdrożenie oprogramowania, w tym:</w:t>
      </w:r>
      <w:r>
        <w:br/>
        <w:t>-</w:t>
      </w:r>
      <w:r>
        <w:tab/>
        <w:t>Zakup lub opracowanie i wdrożenie systemu ERP dla Województwa Mazowieckiego;</w:t>
      </w:r>
      <w:r>
        <w:br/>
        <w:t>-</w:t>
      </w:r>
      <w:r>
        <w:tab/>
        <w:t>Modernizacja portalu Wrota Mazowsza przez wdrożenie nowych technologii i rozwiązań.</w:t>
      </w:r>
      <w:r>
        <w:br/>
        <w:t>-</w:t>
      </w:r>
      <w:r>
        <w:tab/>
        <w:t>Opracowanie nowych rozwiązań informatycznych oraz modernizacja istniejących, mających wpływ na proces transformacji cyfrowej administracji samorządowej Mazowsza.</w:t>
      </w:r>
      <w:r>
        <w:br/>
        <w:t>-</w:t>
      </w:r>
      <w:r>
        <w:tab/>
        <w:t>Rozbudowa i modernizacja Mazowieckiego Systemu Informacji Przestrzennej, opracowanie narzędzi do analiz i przetwarzania materiałów źródłowych (w tym danych pochodzących z państwowego zasobu geodezyjnego i kartograficznego) z wykorzystaniem nowoczesnych technologii ICT.</w:t>
      </w:r>
      <w:r>
        <w:br/>
        <w:t>•</w:t>
      </w:r>
      <w:r>
        <w:tab/>
        <w:t>Cyfryzacje i publikacja danych przestrzennych oraz rozbudowa systemu otwartych danych państwowego zasobu geodezyjnego i kartograficznego,  opracowań tematycznych i danych przestrzennych.</w:t>
      </w:r>
      <w:r>
        <w:br/>
        <w:t xml:space="preserve">E-kultura </w:t>
      </w:r>
      <w:r>
        <w:br/>
        <w:t xml:space="preserve">Projekt jest kontynuacją Projektu Regionalna Platforma Informacyjna – Kultura na Mazowszu realizowanego w ramach RPO WM 2014-2020 oraz będzie kontynuacją projektu realizowanego w ramach REACT-EU w zakresie zadania „Otwarte dane obiektów muzealnych – świadectwo przeszłości w przyszłości”. Zakres projektu będzie obejmował m.in: </w:t>
      </w:r>
      <w:r>
        <w:br/>
      </w:r>
      <w:r>
        <w:lastRenderedPageBreak/>
        <w:t>•</w:t>
      </w:r>
      <w:r>
        <w:tab/>
        <w:t>Opracowanie, standaryzację i wdrożenie mechanizmów oraz procedur cyfryzacji danych dotyczących obiektów muzealnych,</w:t>
      </w:r>
      <w:r>
        <w:br/>
        <w:t>•</w:t>
      </w:r>
      <w:r>
        <w:tab/>
        <w:t>Zakup infrastruktury techniczno-informatycznej niezbędnej do zadań przygotowania i digitalizacji eksponatów, w tym rozbudowa pracowni digitalizacji i zaplecza technicznego,</w:t>
      </w:r>
      <w:r>
        <w:br/>
        <w:t>•</w:t>
      </w:r>
      <w:r>
        <w:tab/>
        <w:t>Zakup lub opracowanie i wdrożenie oprogramowania do zarządzania zdigitalizowanymi danym, oraz modernizację mazowieckiego portalu e-kultura,</w:t>
      </w:r>
      <w:r>
        <w:br/>
        <w:t>•</w:t>
      </w:r>
      <w:r>
        <w:tab/>
        <w:t>Przygotowanie wybranych zbiorów obiektów muzealnych i kultury do digitalizacji oraz ich digitalizację.</w:t>
      </w:r>
      <w:r>
        <w:br/>
        <w:t xml:space="preserve">E-zdrowie dla Mazowsza 3 </w:t>
      </w:r>
      <w:r>
        <w:br/>
        <w:t>Projekt zakłada wdrożenie w jednostkach medycznych, znajdujących się na terenie województwa mazowieckiego nowoczesnych rozwiązań wspierających diagnostykę pacjentów. Realizacja zadań projektowych będzie opierała się na:</w:t>
      </w:r>
      <w:r>
        <w:br/>
        <w:t>•</w:t>
      </w:r>
      <w:r>
        <w:tab/>
        <w:t>Wdrożeniu lub rozwoju produktów i rozwiązań wspierających realizację usług medycznych oraz poprawiających dostępność danych m.in. poprzez wykorzystanie innowacyjnych narzędzi, wykorzystanie w procesach produktów lub usług centralnych.</w:t>
      </w:r>
      <w:r>
        <w:br/>
        <w:t>•</w:t>
      </w:r>
      <w:r>
        <w:tab/>
        <w:t>Wdrażane narzędzia będą zawierały dostępne innowacyjne rozwiązania wspomagające realizację usług i procesów medycznych w sposób zdalny.</w:t>
      </w:r>
      <w:r>
        <w:br/>
        <w:t>•</w:t>
      </w:r>
      <w:r>
        <w:tab/>
        <w:t xml:space="preserve">Rozwiązanie usprawni i poprawi dostępność diagnostyczną zaangażowanych ośrodków medycznych, usprawni proces diagnostyczny, a tym samym wpłynie na sprawność leczenia pacjenta. </w:t>
      </w:r>
      <w:r>
        <w:br/>
        <w:t>•</w:t>
      </w:r>
      <w:r>
        <w:tab/>
        <w:t>Uruchomienie funkcjonalności wspierających realizację procesów medycznych może wiązać się z potrzebą przystosowania dostępnej infrastruktury sprzętowej partnerów, w tym zwiększenie mocy obliczeniowej lub przestrzeni dyskowej Data Center dedykowanego wymianie danych oraz przepustowości łączy internetowych, a także zakup narzędzi i rozwiązań niezbędnych do obsługi realizowanych procesów.</w:t>
      </w:r>
      <w:r>
        <w:br/>
        <w:t>•</w:t>
      </w:r>
      <w:r>
        <w:tab/>
        <w:t>Realizacja zadań projektowych będzie się również koncentrowała wokół aspektów jakości i bezpieczeństwa przetwarzania danych, funkcjonowania systemów i infrastruktury. W związku z powyższym przewiduje się wdrożenie rozwiązań z zakresu cyberbezpieczeństwa, włącznie z implementacją rozwiązań wspierających rozwój kompetencji personelu obsługującego funkcjonowanie platformy teleradiologii i migracją danych.</w:t>
      </w:r>
      <w:r>
        <w:tab/>
      </w:r>
      <w:r>
        <w:br/>
        <w:t xml:space="preserve">Smart Villages 2  </w:t>
      </w:r>
      <w:r>
        <w:br/>
        <w:t>Projekt będzie kontynuacją i rozwinięciem obecnie realizowanego przez Samorząd Województwa Mazowieckiego pilotażu, którego przedmiotem jest system wspomagający decyzje rolnika dot. planowania i prowadzenia produkcji rolnej, zintegrowany z mobilnym centrum diagnostycznym gleby.</w:t>
      </w:r>
      <w:r>
        <w:br/>
        <w:t>Potrzeba budowy wskazanych aplikacji, centrum kompetencyjnego oraz prototypu robota, wynika z badań wykonanych przez Konsorcjum naukowe, w ramach części badawczej przedsięwzięcie Smart Villages (1) oraz z konsultacji z Instytucjami i przedsiębiorcami działającymi na rynku rolnym. Projekt będzie realizowany w Partnerstwie z mazowieckimi powiatami oraz instytucjami i organizacjami działającymi na rynku rolnym.</w:t>
      </w:r>
      <w:r>
        <w:br/>
      </w:r>
      <w:r>
        <w:br/>
        <w:t xml:space="preserve">Preferencje punktowe mogą być stosowane w projektach: </w:t>
      </w:r>
      <w:r>
        <w:br/>
        <w:t>•</w:t>
      </w:r>
      <w:r>
        <w:tab/>
        <w:t xml:space="preserve">skierowanych na obszary strategicznej interwencji (OSI) wyznaczone w KSRR i wynikające z SR WM 2030+, tj. miast średnich tracących funkcje społeczno-gospodarcze oraz gmin zagrożonych trwałą </w:t>
      </w:r>
      <w:r>
        <w:lastRenderedPageBreak/>
        <w:t>marginalizacją,</w:t>
      </w:r>
      <w:r>
        <w:br/>
        <w:t>•</w:t>
      </w:r>
      <w:r>
        <w:tab/>
        <w:t>realizowanych w ramach MSIT lub wynikające z GPR,</w:t>
      </w:r>
      <w:r>
        <w:br/>
        <w:t>•</w:t>
      </w:r>
      <w:r>
        <w:tab/>
        <w:t xml:space="preserve">uczestników i podmiotów zaangażowanych we współpracę międzyregionalną lub międzynarodową. </w:t>
      </w:r>
      <w:r>
        <w:br/>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tab/>
      </w:r>
      <w:r>
        <w:br/>
        <w:t>•</w:t>
      </w:r>
      <w:r>
        <w:tab/>
        <w:t>w regionie Mazowieckim regionalnym – 85%,</w:t>
      </w:r>
      <w:r>
        <w:br/>
        <w:t>•</w:t>
      </w:r>
      <w:r>
        <w:tab/>
        <w:t>w regionie Warszawskim stołecznym – 50%.</w:t>
      </w:r>
    </w:p>
    <w:p w14:paraId="1F80D2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C0EA6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90D16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6376F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67B6C2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9576C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59F965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FB0528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3A5BD6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0474A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79F24A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F2A34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12F54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cross-financing (%)</w:t>
      </w:r>
    </w:p>
    <w:p w14:paraId="3FCB6FB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A89152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7FD14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30BD14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76864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ADE25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74D21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5018F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7F3DF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Organizacje społeczne i związki wyznaniowe, Służby publiczne</w:t>
      </w:r>
    </w:p>
    <w:p w14:paraId="31E3B0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70405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 Jednostki Samorządu Terytorialnego, Pozarządowe organizacje turystyczne, Publiczne zakłady opieki zdrowotnej</w:t>
      </w:r>
    </w:p>
    <w:p w14:paraId="40442D2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2851D4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aplikacja, cyberbezpieczeństwo, cyfryzacja, dane, digitalizacja, kompetencje_cyfrowe, smartcity, smartvillage, TIK, transformacja_cyfrowa</w:t>
      </w:r>
    </w:p>
    <w:p w14:paraId="17C17D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50598C3" w14:textId="6D9B3796"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8" w:history="1">
        <w:r w:rsidRPr="005B2474">
          <w:rPr>
            <w:rStyle w:val="Hipercze"/>
          </w:rPr>
          <w:t>https://funduszeuedlamazowsza.eu/uchwaly-km-fem/</w:t>
        </w:r>
      </w:hyperlink>
    </w:p>
    <w:p w14:paraId="72C274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8ED5F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WLWK-RCO014 - Instytucje publiczne otrzymujące wsparcie na opracowywanie usług, produktów i procesów cyfrowych</w:t>
      </w:r>
    </w:p>
    <w:p w14:paraId="3570631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WLWK-PLRO161 - Liczba kampanii edukacyjno-informacyjnych dotyczących TIK</w:t>
      </w:r>
    </w:p>
    <w:p w14:paraId="3396C1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WLWK-PLRO010 - Liczba podmiotów, które udostępniły informacje sektora publicznego/dane prywatne on-line</w:t>
      </w:r>
    </w:p>
    <w:p w14:paraId="3976ED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WLWK-PLRO014 - Liczba podmiotów wspartych w zakresie cyberbezpieczeństwa</w:t>
      </w:r>
    </w:p>
    <w:p w14:paraId="2289B7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WLWK-PLRO008 - Liczba podmiotów wspartych w zakresie rozwoju usług, produktów i procesów cyfrowych</w:t>
      </w:r>
    </w:p>
    <w:p w14:paraId="1853A0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WLWK-PLRO160 - Liczba rozwiązań wykorzystujących informacje sektora publicznego/dane prywatne</w:t>
      </w:r>
    </w:p>
    <w:p w14:paraId="5B2ECD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WLWK-PLRO011 - Liczba usług publicznych udostępnionych on-line o stopniu dojrzałości 3 - dwustronna interakcja</w:t>
      </w:r>
    </w:p>
    <w:p w14:paraId="2D7DB2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WLWK-PLRO012 - Liczba usług publicznych udostępnionych on-line o stopniu dojrzałości co najmniej 4 - transakcja</w:t>
      </w:r>
    </w:p>
    <w:p w14:paraId="4A2A7B7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ACF40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WLWK-PLRR119 - Liczba podmiotów, które zaindeksowały EDM w P1 </w:t>
      </w:r>
    </w:p>
    <w:p w14:paraId="5BE65D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WLWK-RCR011 - Użytkownicy nowych i zmodernizowanych publicznych usług, produktów i procesów cyfrowych</w:t>
      </w:r>
    </w:p>
    <w:p w14:paraId="2F9AE6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48211A7"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 w:name="_Toc237347949"/>
      <w:r>
        <w:rPr>
          <w:rFonts w:ascii="Calibri" w:hAnsi="Calibri" w:cs="Calibri"/>
          <w:sz w:val="32"/>
        </w:rPr>
        <w:t>Działanie FEMA.01.03 Innowacyjność i konkurencyjność MŚP</w:t>
      </w:r>
      <w:bookmarkEnd w:id="5"/>
    </w:p>
    <w:p w14:paraId="6CEC33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C77C4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EFRR.CP1.III - Wzmacnianie trwałego wzrostu i konkurencyjności MŚP oraz tworzenie miejsc pracy w MŚP, w tym poprzez inwestycje produkcyjne</w:t>
      </w:r>
    </w:p>
    <w:p w14:paraId="59C29A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9C0B5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10EF79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E1847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87 609 119,00</w:t>
      </w:r>
    </w:p>
    <w:p w14:paraId="147FF6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C215E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61 246 000,00</w:t>
      </w:r>
    </w:p>
    <w:p w14:paraId="7724DD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C5606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021 - Rozwój działalności i umiędzynarodowienie MŚP, w tym inwestycje produkcyjne, 024 - Zaawansowane usługi wsparcia dla MŚP i grup MŚP (w tym usługi w zakresie zarządzania, marketingu i projektowania), 025 - Inkubatory przedsiębiorczości, wsparcie dla przedsiębiorstw typu spin-off i spin-out i przedsiębiorstw typu start-up, 027 - Procesy innowacji w MŚP (innowacje w zakresie procesów, organizacji, marketingu, i współtworzenia, innowacje zorientowane na użytkownika i motywowane popytem)</w:t>
      </w:r>
    </w:p>
    <w:p w14:paraId="6B4841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E12FDF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Wdrożenie wyników prac badawczo-rozwojowych i innowacji, w tym z wykorzystaniem nowoczesnych rozwiązań TIK,</w:t>
      </w:r>
      <w:r>
        <w:br/>
        <w:t>2.</w:t>
      </w:r>
      <w:r>
        <w:tab/>
        <w:t xml:space="preserve">Inkubacja z elementami akceleracji działalności innowacyjnej MŚP, </w:t>
      </w:r>
      <w:r>
        <w:br/>
      </w:r>
      <w:r>
        <w:lastRenderedPageBreak/>
        <w:t>3.</w:t>
      </w:r>
      <w:r>
        <w:tab/>
        <w:t>Wsparcie prowadzenia i rozwoju działalności przedsiębiorstw, w tym modyfikacji lub wprowadzania nowych modeli biznesowych,</w:t>
      </w:r>
      <w:r>
        <w:br/>
        <w:t>4.</w:t>
      </w:r>
      <w:r>
        <w:tab/>
        <w:t>Rozwój mazowieckich przedsiębiorstw w oparciu o klastry.</w:t>
      </w:r>
      <w:r>
        <w:br/>
        <w:t>W typie: Wdrożenie wyników prac badawczo-rozwojowych i innowacji, w tym z wykorzystaniem nowoczesnych rozwiązań TIK projekt może obejmować:</w:t>
      </w:r>
      <w:r>
        <w:br/>
        <w:t>•</w:t>
      </w:r>
      <w:r>
        <w:tab/>
        <w:t>rozbudowę przedsiębiorstwa, w szczególności związaną z wprowadzaniem na rynek nowych lub ulepszonych produktów i usług. Wsparcie będzie kierowane również na zasadniczą zmianę procesu produkcyjnego, w tym w celu przejścia z modelu liniowego na cyrkularny i redukowanie masy odpadów lub zmianę w sposobie świadczenia usług, a także innowacje organizacyjne i do pewnego stopnia marketingowe,</w:t>
      </w:r>
      <w:r>
        <w:br/>
        <w:t>•</w:t>
      </w:r>
      <w:r>
        <w:tab/>
        <w:t>rozwój produktów i usług opartych na TIK, w tym sprzedaż produktów i usług w internecie, tworzenie i udostępnianie usług elektronicznych, optymalizację procesów ułatwiających zarządzanie przedsiębiorstwem oraz współpracę pomiędzy przedsiębiorcami poprzez rozwiązania informatyczne, a także wdrożenie specjalistycznych rozwiązań cyfrowych w przedsiębiorstwie, np. prowadzących do digitalizacji procesów.</w:t>
      </w:r>
      <w:r>
        <w:br/>
        <w:t>•</w:t>
      </w:r>
      <w:r>
        <w:tab/>
        <w:t>nabycie usług doradczych świadczonych przez IOB, jako element projektu.</w:t>
      </w:r>
      <w:r>
        <w:br/>
        <w:t>Premiowane będą projekty będące kontynuacją przedsięwzięć sfinansowanych w ramach Działania 1.2 RPO WM 2014-2020, Działania FEMA.01.01 w FEM 2021-2027 i w programach krajowych, a także operacje, które otrzymały dofinansowanie z programu Horyzont Europa lub Horyzont 2020 na prace B+R.</w:t>
      </w:r>
      <w:r>
        <w:br/>
        <w:t xml:space="preserve">Finansowane będą projekty dotyczące wdrożenia wyników badań wpisujących się w priorytetowe kierunki badań zawarte w odpowiednim dokumencie kierunkowym dla RIS 2030. </w:t>
      </w:r>
      <w:r>
        <w:br/>
        <w:t>W typie projektu: Inkubacja z elementami akceleracji działalności innowacyjnej MŚP, realizowane mogą być:</w:t>
      </w:r>
      <w:r>
        <w:br/>
        <w:t>•</w:t>
      </w:r>
      <w:r>
        <w:tab/>
        <w:t>Programy inkubacyjne z elementami akceleracji dla innowacyjnych przedsiębiorstw na wczesnym etapie rozwoju, mające na celu wspieranie działalności innowacyjnej MŚP.</w:t>
      </w:r>
      <w:r>
        <w:br/>
        <w:t>•</w:t>
      </w:r>
      <w:r>
        <w:tab/>
        <w:t>Działania inkubacyjne i akceleracyjne przeprowadzone zostaną przez operatorów wyłonionych w procedurze konkursowej, odrębnie dla RWS i RMR, którzy przeprowadzą kompleksowe procesy, do których zostaną zrekrutowane MŚP. Finansowane będą koszty działań operatorów związane z zarządzaniem programami, w szczególności dotyczące pozyskania startupów do programów oraz kompleksowej obsługi programów.</w:t>
      </w:r>
      <w:r>
        <w:br/>
        <w:t>•</w:t>
      </w:r>
      <w:r>
        <w:tab/>
        <w:t>Zapewnione będzie wsparcie usług oferowanych przez IOB w zakresie transferu technologii i innowacyjnych modeli biznesowych, prowadzenia działalności B+R+I i akceleracji projektów B+R+I.</w:t>
      </w:r>
      <w:r>
        <w:br/>
        <w:t>•</w:t>
      </w:r>
      <w:r>
        <w:tab/>
        <w:t>Programy akceleracyjne będą kończyć się wsparciem post akceleracyjnym (program umożliwi współpracę startupów z odbiorcami technologii lub inwestorami w tym m.in. pomoc w pozyskaniu inwestorów, dodatkowych źródeł finansowania nowych rozwiązań i ich wdrożeniu na rynku) zwłaszcza wobec podmiotów działających w RMR.</w:t>
      </w:r>
      <w:r>
        <w:br/>
        <w:t>•</w:t>
      </w:r>
      <w:r>
        <w:tab/>
        <w:t xml:space="preserve">Programy rozwojowe mają zapewnić wsparcie dopasowane do etapu rozwoju innowacyjnej spółki, m.in. poprzez wsparcie w formie grantu , dostępu do wydarzeń typu hackathon, zindywidualizowane wsparcie merytoryczne ekspertów, dostęp do potencjalnych klientów, inwestorów (np. na wydarzeniach demo day), stworzenie warunków do realizacji testowego wdrożenia produktu/usługi, a także wsparcie w procesie pozyskiwania finansowania zewnętrznego (np. od funduszy VC) oraz w zakresie internacjonalizacji działalności (w tym wyjazdy na wybrane rynki zagraniczne służące </w:t>
      </w:r>
      <w:r>
        <w:lastRenderedPageBreak/>
        <w:t>rozwinięciu działalności i przygotowaniu produktu na konkretny rynek).</w:t>
      </w:r>
      <w:r>
        <w:br/>
        <w:t>W typie projektu: Wsparcie prowadzenia i rozwoju działalności przedsiębiorstw, w tym modyfikacji lub wprowadzania nowych modeli biznesowych, współfinansowane będą:</w:t>
      </w:r>
      <w:r>
        <w:br/>
        <w:t>•</w:t>
      </w:r>
      <w:r>
        <w:tab/>
        <w:t xml:space="preserve">w pierwszym etapie - usługi doradcze świadczone przez mazowieckie akredytowane IOB w celu modyfikacji lub powstania nowego modelu biznesowego. W przypadku, jeżeli wdrożenie zmodyfikowanego lub nowego modelu biznesowego ma być wspierane z IF, etap doradztwa nie jest obowiązkowy. </w:t>
      </w:r>
      <w:r>
        <w:br/>
        <w:t>•</w:t>
      </w:r>
      <w:r>
        <w:tab/>
        <w:t xml:space="preserve">w drugim etapie, ściśle związanym z etapem doradztwa i uzależnionym od jego wyniku - komponent wdrożeniowy (zgodnie ze sformułowanymi rekomendacjami) i/lub działania na rzecz internacjonalizacji przedsiębiorstw w obszarach regionalnej inteligentnej specjalizacji. </w:t>
      </w:r>
      <w:r>
        <w:br/>
        <w:t>•</w:t>
      </w:r>
      <w:r>
        <w:tab/>
        <w:t>Projekty będą realizowane kompleksowo z zastosowaniem mechanizmu popytowego.</w:t>
      </w:r>
      <w:r>
        <w:br/>
        <w:t>•</w:t>
      </w:r>
      <w:r>
        <w:tab/>
        <w:t>Przewiduje się realizację projektów mających na celu wprowadzenie do przedsiębiorstwa nowoczesnych rozwiązań umożliwiających redukcję kosztów działalności rynkowej w przedsiębiorstwie wynikającą m.in. z mniejszego zużycia energii lub bardziej efektywnego wykorzystania surowców.</w:t>
      </w:r>
      <w:r>
        <w:br/>
        <w:t xml:space="preserve">Premiowane mogą być projekty skupiające się na minimalizowaniu powstawania odpadów, inwestowaniu w środki trwałe umożliwiające zapobieganie powstawania odpadów oraz wspomagające przygotowanie do ponownego użycia, wymianę rzeczy używanych, na wydajnym recyklingu i odzysku, ograniczające zużycie energii w procesie produkcyjnym.   </w:t>
      </w:r>
      <w:r>
        <w:br/>
      </w:r>
      <w:r>
        <w:br/>
        <w:t>W ramach typu projektu: Rozwój mazowieckich przedsiębiorstw w oparciu o klastry:</w:t>
      </w:r>
      <w:r>
        <w:br/>
        <w:t>•</w:t>
      </w:r>
      <w:r>
        <w:tab/>
        <w:t xml:space="preserve">Klaster zapewnia zarówno bezpośrednie wsparcie finansowe dla MŚP, jak i dostęp do usług klastra. </w:t>
      </w:r>
      <w:r>
        <w:br/>
        <w:t>•</w:t>
      </w:r>
      <w:r>
        <w:tab/>
        <w:t xml:space="preserve">Wsparcie finansowe MŚP będzie przeznaczone na projekty służące zaprojektowaniu i wdrożeniu prototypowego rozwiązania, w celu wykazania jego wykonalności z uwzględnieniem wszystkich najważniejszych cech produktu/usługi/procesu. </w:t>
      </w:r>
      <w:r>
        <w:br/>
        <w:t>•</w:t>
      </w:r>
      <w:r>
        <w:tab/>
        <w:t xml:space="preserve">W zakresie dostępu do usług klaster będzie zapewniał m.in.: doradztwo dla przedsiębiorstw w zakresie optymalizacji procesów produkcyjnych, pomoc we wdrażaniu nowych technologii, doradztwo proinnowacyjne, dostęp do infrastruktury B+R, usługi umiędzynarodowienia. </w:t>
      </w:r>
      <w:r>
        <w:br/>
        <w:t>•</w:t>
      </w:r>
      <w:r>
        <w:tab/>
        <w:t xml:space="preserve">Celem wsparcia będzie wypracowanie lub akceleracja nowych rozwiązań (produktów/usług) w przedsiębiorstwach. </w:t>
      </w:r>
      <w:r>
        <w:br/>
        <w:t xml:space="preserve">Zastosowanie będą mieć następujące zasady: </w:t>
      </w:r>
      <w:r>
        <w:br/>
        <w:t>•</w:t>
      </w:r>
      <w:r>
        <w:tab/>
        <w:t>Wsparcie będzie realizowane poprzez klastry wzrostowe o charakterze regionalnym lub krajowe klastry kluczowe.</w:t>
      </w:r>
      <w:r>
        <w:br/>
        <w:t>•</w:t>
      </w:r>
      <w:r>
        <w:tab/>
        <w:t xml:space="preserve">Wzmacniane będą przedsiębiorstwa prowadzące działalność w tradycyjnych gałęziach przemysłu i rolnictwie   , wskazanych w RIS 2030, wymagających szczególnej interwencji w celu przeciwdziałania dysproporcjom rozwojowym województwa. </w:t>
      </w:r>
      <w:r>
        <w:br/>
        <w:t>•</w:t>
      </w:r>
      <w:r>
        <w:tab/>
        <w:t>Wsparcie świadczone przez klaster będzie koncentrować się na rozwiązaniach zgodnych z regionalną inteligentną specjalizacją Mazowsza.</w:t>
      </w:r>
      <w:r>
        <w:br/>
      </w:r>
      <w:r>
        <w:br/>
        <w:t xml:space="preserve">Preferencje punktowe mogą być stosowane w projektach: </w:t>
      </w:r>
      <w:r>
        <w:br/>
        <w:t xml:space="preserve">1. skierowanych na obszary strategicznej interwencji (OSI) wyznaczone w KSRR i wynikające z SR WM 2030+, tj. miast średnich tracących funkcje społeczno-gospodarcze oraz gmin zagrożonych trwałą </w:t>
      </w:r>
      <w:r>
        <w:lastRenderedPageBreak/>
        <w:t>marginalizacją,</w:t>
      </w:r>
      <w:r>
        <w:br/>
        <w:t>2. realizowanych w ramach MSIT lub wynikające z GPR,</w:t>
      </w:r>
      <w:r>
        <w:br/>
        <w:t>Możliwe jest premiowanie projektów uczestników i podmiotów zaangażowanych we współpracę o zasięgu międzyregionalnym lub międzynarodowym.</w:t>
      </w:r>
      <w:r>
        <w:br/>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 (DNSH).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r>
        <w:br/>
      </w:r>
      <w:r>
        <w:br/>
        <w:t>IF stosowane będą w typach projektów inwestycyjnych o niższym ryzyku niepowodzenia, wskazanych w:</w:t>
      </w:r>
      <w:r>
        <w:br/>
        <w:t>•</w:t>
      </w:r>
      <w:r>
        <w:tab/>
        <w:t>pkt 1 (z wyłączeniem nabycia usług doradczych świadczonych przez IOB, jako element projektu);</w:t>
      </w:r>
      <w:r>
        <w:br/>
        <w:t>•</w:t>
      </w:r>
      <w:r>
        <w:tab/>
        <w:t xml:space="preserve">pkt 3 (wyłącznie na realizację projektów mających na celu wprowadzenie do przedsiębiorstwa nowoczesnych rozwiązań umożliwiających redukcję kosztów działalności rynkowej w przedsiębiorstwie wynikającą m.in. z mniejszego zużycia energii lub bardziej efektywnego wykorzystania surowców, także wdrożenia realizowane jednoetapowo z pominięciem etapu doradztwa). </w:t>
      </w:r>
      <w:r>
        <w:br/>
        <w:t xml:space="preserve">Zostanie zastosowane zróżnicowanie podejście w zależności od typu regionu RMR i RWS. Uwzględnione zostaną różnice potencjału odbiorców wsparcia. W projektach skomplikowanych, obarczonych wyższym ryzykiem, możliwe będzie wykorzystanie instrumentów łączonych z dotacją w formie rabatu kapitałowego, w ramach jednego projektu. Wsparcie wdrożenia prac B+R z elementem dotacji lub nowoczesnych rozwiązań TIK będzie udzielane do wysokości zgodnie z regułami pomocy publicznej. Przedsiębiorstwa typu „small mid-caps” i „mid-caps” będą wspierane wyłącznie poprzez IF. </w:t>
      </w:r>
    </w:p>
    <w:p w14:paraId="49A6E3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26AB54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2B910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0A8AE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24D0C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0D526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0C3857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87F592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 Rozporządzenie Ministra Funduszy i Polityki Regionalnej z dnia 7 października 2022 r. w sprawie udzielania regionalnej pomocy inwestycyjnej w ramach celu polityki CP1 (iii) w zakresie wzmacniania trwałego wzrostu i konkurencyjności mikroprzedsiębiorców, małych i średnich przedsiębiorców oraz tworzenia miejsc pracy w mikroprzedsiębiorstwach, małych i średnich przedsiębiorstwach, w tym poprzez inwestycje produkcyjne w ramach regionalnych programów na lata 2021–2027 (Dz.U. 2024 poz. 1642)</w:t>
      </w:r>
    </w:p>
    <w:p w14:paraId="788CF1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21964B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3339705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D9855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18239E7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983DDA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2DB2B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D0DAF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10B63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CFEDF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8C833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35C7E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E6909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E940C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Przedsiębiorstwa</w:t>
      </w:r>
    </w:p>
    <w:p w14:paraId="40BFC6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181D82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Instytucje finansowe, MŚP</w:t>
      </w:r>
    </w:p>
    <w:p w14:paraId="3F3058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CB499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 badania_i_rozwój, inkubacja, innowacja, instrument_finansowy, klastry, umiędzynarodowienie</w:t>
      </w:r>
    </w:p>
    <w:p w14:paraId="7769498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D37A3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Mid caps, Mikro, Small mid caps, Średnie</w:t>
      </w:r>
    </w:p>
    <w:p w14:paraId="7A90F9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6D3AD44" w14:textId="1FDC51E9"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9" w:history="1">
        <w:r w:rsidRPr="005B2474">
          <w:rPr>
            <w:rStyle w:val="Hipercze"/>
          </w:rPr>
          <w:t>https://funduszeuedlamazowsza.eu/uchwaly-km-fem/</w:t>
        </w:r>
      </w:hyperlink>
    </w:p>
    <w:p w14:paraId="21AAC6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F8CCF5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47FB566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WLWK-PLRO162 - Liczba przedsiębiorstw wspartych w zakresie internacjonalizacji działalności</w:t>
      </w:r>
    </w:p>
    <w:p w14:paraId="102FB6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117E950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402748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3E27F4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1DEAA6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4E07DD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WLWK-RCO003 - Przedsiębiorstwa objęte wsparciem z instrumentów finansowych</w:t>
      </w:r>
    </w:p>
    <w:p w14:paraId="1EC10F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F6CA97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WLWK-PLRR006 - Liczba wdrożonych wyników prac B+R</w:t>
      </w:r>
    </w:p>
    <w:p w14:paraId="36AE18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WLWK-PLRR030 - Liczba wprowadzonych innowacji marketingowych</w:t>
      </w:r>
    </w:p>
    <w:p w14:paraId="4FE8A0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WLWK-PLRR031 - Liczba wprowadzonych innowacji organizacyjnych</w:t>
      </w:r>
    </w:p>
    <w:p w14:paraId="2A6F2CC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WLWK-PLRR029 - Liczba wprowadzonych innowacji procesowych</w:t>
      </w:r>
    </w:p>
    <w:p w14:paraId="06158B8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WLWK-PLRR028 - Liczba wprowadzonych innowacji produktowych</w:t>
      </w:r>
    </w:p>
    <w:p w14:paraId="0395E36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WLWK-PLRR025 - Małe i średnie przedsiębiorstwa (MŚP) wprowadzające innowacje procesowe</w:t>
      </w:r>
    </w:p>
    <w:p w14:paraId="2842A7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WLWK-PLRR024 - Małe i średnie przedsiębiorstwa (MŚP) wprowadzające innowacje produktowe</w:t>
      </w:r>
    </w:p>
    <w:p w14:paraId="201A66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2FE6E1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WLWK-PLRR026 - MŚP wprowadzające innowacje marketingowe</w:t>
      </w:r>
    </w:p>
    <w:p w14:paraId="4765BE3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WLWK-PLRR027 - MŚP wprowadzające innowacje organizacyjne</w:t>
      </w:r>
    </w:p>
    <w:p w14:paraId="253F58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WLWK-RCR005 - MŚP wprowadzające innowacje wewnątrz przedsiębiorstwa</w:t>
      </w:r>
    </w:p>
    <w:p w14:paraId="0A356D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WLWK-RCR017 - Nowe przedsiębiorstwa utrzymujące się na rynku</w:t>
      </w:r>
    </w:p>
    <w:p w14:paraId="3EB94B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WLWK-PLRR033 - Przychody ze sprzedaży nowych lub udoskonalonych produktów/usług</w:t>
      </w:r>
    </w:p>
    <w:p w14:paraId="65807F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WLWK-PLRR002 - Wartość inwestycji prywatnych uzupełniających wsparcie publiczne - dotacje</w:t>
      </w:r>
    </w:p>
    <w:p w14:paraId="0DAEB6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WLWK-PLRR003 - Wartość inwestycji prywatnych uzupełniających wsparcie publiczne – instrumenty finansowe</w:t>
      </w:r>
    </w:p>
    <w:p w14:paraId="0299AF1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5CDE0AD9"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6" w:name="_Toc237347950"/>
      <w:r>
        <w:rPr>
          <w:rFonts w:ascii="Calibri" w:hAnsi="Calibri" w:cs="Calibri"/>
          <w:i w:val="0"/>
          <w:sz w:val="32"/>
        </w:rPr>
        <w:t>Priorytet FEMA.02 Fundusze Europejskie na zielony rozwój Mazowsza</w:t>
      </w:r>
      <w:bookmarkEnd w:id="6"/>
    </w:p>
    <w:p w14:paraId="4D53015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4678E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13BF41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2B366D3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6208CFB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71484A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14:paraId="3932D6B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6E63D3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06ABC4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6918CF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512 955 168,00</w:t>
      </w:r>
    </w:p>
    <w:p w14:paraId="18D90C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59B832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381 127 479,00</w:t>
      </w:r>
    </w:p>
    <w:p w14:paraId="0A834D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6A3D46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30,57</w:t>
      </w:r>
    </w:p>
    <w:p w14:paraId="4BC4A8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527D76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69,43</w:t>
      </w:r>
    </w:p>
    <w:p w14:paraId="323AA23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E6F113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5F566D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2782957"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 w:name="_Toc237347951"/>
      <w:r>
        <w:rPr>
          <w:rFonts w:ascii="Calibri" w:hAnsi="Calibri" w:cs="Calibri"/>
          <w:sz w:val="32"/>
        </w:rPr>
        <w:lastRenderedPageBreak/>
        <w:t>Działanie FEMA.02.01 Efektywność energetyczna</w:t>
      </w:r>
      <w:bookmarkEnd w:id="7"/>
    </w:p>
    <w:p w14:paraId="16D6CE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9BD64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01C999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E1396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4077F6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553E80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103 090 755,00</w:t>
      </w:r>
    </w:p>
    <w:p w14:paraId="59E680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AD07F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79 848 053,00</w:t>
      </w:r>
    </w:p>
    <w:p w14:paraId="2BC9E7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BD5DD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046 - Wsparcie dla podmiotów, które świadczą usługi wspierające gospodarkę niskoemisyjną i odporność na zmiany klimatu, w tym działania w zakresie zwiększania świadomości, 077 - Działania mające na celu poprawę jakości powietrza i ograniczenie hałasu</w:t>
      </w:r>
    </w:p>
    <w:p w14:paraId="5693FD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666F5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Poprawa efektywności energetycznej budynków publicznych i mieszkalnych,</w:t>
      </w:r>
      <w:r>
        <w:br/>
        <w:t>2.</w:t>
      </w:r>
      <w:r>
        <w:tab/>
        <w:t>Kontrola jakości powietrza,</w:t>
      </w:r>
      <w:r>
        <w:br/>
        <w:t>3.</w:t>
      </w:r>
      <w:r>
        <w:tab/>
        <w:t>Wsparcie mazowieckich gmin w realizacji programu ochrony powietrza dla stref w województwie mazowieckim.</w:t>
      </w:r>
      <w:r>
        <w:br/>
        <w:t xml:space="preserve">W typie projektu: Poprawa efektywności energetycznej budynków publicznych i mieszkalnych wsparciem objęte będą kompleksowe działania inwestycyjne przyczyniających się do poprawy efektywności energetycznej budynków: mieszkalnych (wielorodzinne, zamieszkania zbiorowego) - komunalnych, TBS, zarządzanych przez spółdzielnie i wspólnoty mieszkaniowe oraz budynków użyteczności publicznej. Zasady wsparcia dla spółdzielni mieszkaniowych nie mogą być korzystniejsze od zasad przewidzianych dla programu krajowego. Dotacyjna forma wsparcia będzie miała zastosowanie do budynków komunalnych i obiektów zabytkowych. Dotacja będzie stosowana do budynków użyteczności publicznej zlokalizowanych na terenie gmin, których wskaźnik Gg będzie niższy od średniej wartości dla Mazowsza. </w:t>
      </w:r>
      <w:r>
        <w:br/>
        <w:t xml:space="preserve">W odniesieniu do przedsięwzięć wspieranych w ramach ww. działań zastosowanie będą mieć następujące zasady: </w:t>
      </w:r>
      <w:r>
        <w:br/>
        <w:t xml:space="preserve">Zakres działań projektu termomodernizacyjnego musi wynikać z audytu energetycznego. Inwestycja będzie kwalifikowalna, jeśli nastąpi wzrost efektywności energetycznej o co najmniej 30% w odniesieniu </w:t>
      </w:r>
      <w:r>
        <w:lastRenderedPageBreak/>
        <w:t>do stanu sprzed realizacji projektu (nie dotyczy to budynków zabytkowych). Osiągnięcie zamierzonych celów modernizacyjnych musi zostać potwierdzone audytem po zakończeniu rzeczowej realizacji projektu. W przypadku termomodernizowanego budynku konieczne jest odpowiednie zapewnienie ochrony schronień ptaków i/lub nietoperzy.</w:t>
      </w:r>
      <w:r>
        <w:br/>
        <w:t xml:space="preserve">W ramach prowadzonych działań termomodernizacyjnych ciepło musi być wytwarzane w oparciu o źródła niskoemisyjne, kogeneracyjne, odnawialne lub gazowe (wymiana źródła ciepła na indywidualne gazowe będzie możliwa wyłącznie, gdy rozwiązania oparte na OZE nie są technicznie wykonalne lub ekonomicznie uzasadnione). Prace w zakresie wymiany kotła grzewczego będą dopuszczone w przypadku, gdy podłączenie do sieci ciepłowniczej nie będzie ekonomicznie uzasadnione. </w:t>
      </w:r>
      <w:r>
        <w:br/>
        <w:t>Kwalifikowalne do dofinansowania będą w szczególności:</w:t>
      </w:r>
      <w:r>
        <w:br/>
        <w:t>•</w:t>
      </w:r>
      <w:r>
        <w:tab/>
        <w:t>ocieplenie ścian i dachu budynku, wymiana okien i drzwi zewnętrznych,</w:t>
      </w:r>
      <w:r>
        <w:br/>
        <w:t>•</w:t>
      </w:r>
      <w:r>
        <w:tab/>
        <w:t>modernizacja instalacji grzewczej wraz z wymianą kotła grzewczego, w tym z zastosowaniem mikrokogeneracji i/lub przyłączenia do sieci ciepłowniczej,</w:t>
      </w:r>
      <w:r>
        <w:br/>
        <w:t>•</w:t>
      </w:r>
      <w:r>
        <w:tab/>
        <w:t>budowa/przebudowa systemów wentylacji i klimatyzacji wraz z rekuperacją,</w:t>
      </w:r>
      <w:r>
        <w:br/>
        <w:t>•</w:t>
      </w:r>
      <w:r>
        <w:tab/>
        <w:t>wymiana oświetlenia w budynku na energooszczędne,</w:t>
      </w:r>
      <w:r>
        <w:br/>
        <w:t>•</w:t>
      </w:r>
      <w:r>
        <w:tab/>
        <w:t>instalacja urządzeń OZE wraz z magazynami energii,</w:t>
      </w:r>
      <w:r>
        <w:br/>
        <w:t>•</w:t>
      </w:r>
      <w:r>
        <w:tab/>
        <w:t>budowa/modernizacja systemów ciepłowniczych i chłodniczych (sieci) wraz z magazynami ciepła,</w:t>
      </w:r>
      <w:r>
        <w:br/>
        <w:t>•</w:t>
      </w:r>
      <w:r>
        <w:tab/>
        <w:t>projekty sieci ciepłowniczych w systemach, które nie uzyskały statusu efektywnych energetycznie,</w:t>
      </w:r>
      <w:r>
        <w:br/>
        <w:t>•</w:t>
      </w:r>
      <w:r>
        <w:tab/>
        <w:t>optymalizacja energetyczna istniejących budynków do poziomu nZEB (nearly zero-energy building).</w:t>
      </w:r>
      <w:r>
        <w:br/>
        <w:t>Preferowane będą projekty:</w:t>
      </w:r>
      <w:r>
        <w:br/>
        <w:t>•</w:t>
      </w:r>
      <w:r>
        <w:tab/>
        <w:t>osiągające wysoki stopień efektywności energetycznej,</w:t>
      </w:r>
      <w:r>
        <w:br/>
        <w:t>•</w:t>
      </w:r>
      <w:r>
        <w:tab/>
        <w:t>zapewniające wysoki poziom redukcji zanieczyszczeń oraz emisji CO2,</w:t>
      </w:r>
      <w:r>
        <w:br/>
        <w:t>•</w:t>
      </w:r>
      <w:r>
        <w:tab/>
        <w:t>wykorzystujące OZE,</w:t>
      </w:r>
      <w:r>
        <w:br/>
        <w:t>•</w:t>
      </w:r>
      <w:r>
        <w:tab/>
        <w:t>prowadzące do optymalizacji finansowej projektu przy jednoczesnej gwarancji uzyskania oszczędności energii;</w:t>
      </w:r>
      <w:r>
        <w:br/>
        <w:t>W typie projektu: Kontrola jakości powietrza współfinansowany będzie zakup przyrządów pomiarowych wspomagających prowadzenie kontroli pieców i spalanych w nich paliw: zestaw do poboru próbek popiołu z paleniska, sito analityczne, wilgotnościomierz, dron badający skład dymu z kominów, mobilne laboratorium itp. Wyposażenie pracowników urzędów gmin i jednostek podległych (straż miejska, ekopatrol) w urządzenia pomiarowe wraz z odpowiednim przeszkoleniem pozwoli na skuteczniejsze monitorowanie zakazów spalania odpadów i nieekologicznych paliw. Koszty operacyjne (np. wynagrodzenia dla pracowników prowadzących kontrole) nie będą objęte dofinansowaniem.</w:t>
      </w:r>
      <w:r>
        <w:br/>
        <w:t>W typie projektu: Wsparcie mazowieckich gmin w realizacji programu ochrony powietrza dla stref w województwie mazowieckim lider projektu to Województwo Mazowieckie, a partnerami są gminy oraz LGD z obszaru województwa mazowieckiego. Projekt ma na celu wsparcie gmin we wdrażaniu Programu ochrony powietrza dla stref w województwie mazowieckim, którego celem jest ograniczenie emisji i zmniejszenia stężeń: pyłu zawieszonego PM10 i PM2,5, B(a)P oraz dwutlenku azotu. Zaangażowanie partnerów w realizację programu jest niezbędne, gdyż jedynie współpraca pozwoli na efektywne wdrożenie strategii poprawy jakości powietrza oraz realizację polityki energetyczno-klimatycznej. Interwencja dotyczyć będzie w szczególności podnoszenie potencjału administracyjnego gmin w zakresie:</w:t>
      </w:r>
      <w:r>
        <w:br/>
      </w:r>
      <w:r>
        <w:lastRenderedPageBreak/>
        <w:t xml:space="preserve">• właściwego planowania działań związanych z ochroną powietrza, </w:t>
      </w:r>
      <w:r>
        <w:br/>
        <w:t>• wdrażania systemów informatycznych wspierających procesy zarządzania jakością powietrza,</w:t>
      </w:r>
      <w:r>
        <w:br/>
        <w:t>• monitorowania, kontroli i egzekucji działań w zakresie poprawy jakości powietrza,</w:t>
      </w:r>
      <w:r>
        <w:br/>
        <w:t>• komunikacji z mieszkańcami, doradztwa energetycznego i ekologicznego.</w:t>
      </w:r>
      <w:r>
        <w:br/>
        <w:t>W ramach projektu realizowane będą działania edukacyjne i podnoszące świadomość, przyczyniające się do gospodarki niskoemisyjnej i odporności na zmiany klimatu oraz podnoszące świadomość na temat celów polityki klimatycznej UE oraz potrzeby transformacji sektora energetycznego. Działania te będą realizowane nie tylko przez JST, ale również przez LGD.</w:t>
      </w:r>
      <w:r>
        <w:br/>
        <w:t>Kwalifikowalne do dofinansowania będą koszty:</w:t>
      </w:r>
      <w:r>
        <w:br/>
        <w:t>•</w:t>
      </w:r>
      <w:r>
        <w:tab/>
        <w:t>zatrudnienia i przeszkolenia ekodoradców w gminach, koszty osobowe -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 wyposażenie stanowiska pracy.</w:t>
      </w:r>
      <w:r>
        <w:br/>
        <w:t>•</w:t>
      </w:r>
      <w:r>
        <w:tab/>
        <w:t>koszty administracyjne poniesione w związku z realizacją projektu, w tym biurowo-eksploatacyjne,</w:t>
      </w:r>
      <w:r>
        <w:br/>
        <w:t>•</w:t>
      </w:r>
      <w:r>
        <w:tab/>
        <w:t>zakupu przyrządów pomiarowych: zestaw do poboru próbek popiołu z paleniska, sito analityczne, wilgotnościomierz, dron badający skład dymu z kominów, mobilne laboratorium, itp.</w:t>
      </w:r>
      <w:r>
        <w:br/>
        <w:t>•</w:t>
      </w:r>
      <w:r>
        <w:tab/>
        <w:t>narzędzia informatycznego wspierającego procesy zarządzania jakością powietrza,</w:t>
      </w:r>
      <w:r>
        <w:br/>
        <w:t>•</w:t>
      </w:r>
      <w:r>
        <w:tab/>
        <w:t>działań edukacyjnych i podnoszących świadomość.</w:t>
      </w:r>
      <w:r>
        <w:br/>
      </w:r>
      <w:r>
        <w:br/>
        <w:t xml:space="preserve">Preferencje punktowe mogą być stosowane w projektach: </w:t>
      </w:r>
      <w:r>
        <w:br/>
        <w:t>1. skierowanych na obszary strategicznej interwencji (OSI) wyznaczone w KSRR i wynikające z SR WM 2030+, tj. miast średnich tracących funkcje społeczno-gospodarcze oraz gmin zagrożonych trwałą marginalizacją,</w:t>
      </w:r>
      <w:r>
        <w:br/>
        <w:t>2. realizowanych w ramach MSIT lub wynikające z GPR.</w:t>
      </w:r>
      <w:r>
        <w:br/>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w:t>
      </w:r>
      <w:r>
        <w:br/>
        <w:t>(DNSH).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br/>
        <w:t>•</w:t>
      </w:r>
      <w:r>
        <w:tab/>
        <w:t>w regionie Mazowieckim regionalnym – 85%,</w:t>
      </w:r>
      <w:r>
        <w:br/>
      </w:r>
      <w:r>
        <w:lastRenderedPageBreak/>
        <w:t>•</w:t>
      </w:r>
      <w:r>
        <w:tab/>
        <w:t>w regionie Warszawskim stołecznym – 50%.</w:t>
      </w:r>
      <w:r>
        <w:br/>
      </w:r>
      <w:r>
        <w:br/>
        <w:t xml:space="preserve">Projekty z zakresu efektywności energetycznej (dotyczy typu projektów wskazanego w pkt.1 finansowane są w formie IF. IF  mogą być łączone z komponentem dotacyjnym jako rabat kapitałowy, do wysokości zgodnie z regułami pomocy publicznej. Wysokość umorzenia zależy od wartości wskaźników efektywności energetycznej oraz większej złożoności i wyższej jakości projektów, elementów projektów niezyskownych (np. koszty audytu energetycznego), a także generujących efekt społeczny (np. dostosowanie do potrzeb osób z niepełnosprawnością, walki z ubóstwem energetycznym i itp.). Zostanie zastosowane zróżnicowanie podejście w zależności od typu regionu RMR i RWS. </w:t>
      </w:r>
      <w:r>
        <w:br/>
        <w:t>Grupę Ostatecznych Odbiorców  IF stanowią w szczególności spółdzielnie i wspólnoty mieszkaniowe, TBS-y, SIM-y.</w:t>
      </w:r>
    </w:p>
    <w:p w14:paraId="36F7A2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52DA6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34667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EF027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E2815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2C5B62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45E939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F4072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w:t>
      </w:r>
    </w:p>
    <w:p w14:paraId="068348A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586E3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52C995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A6CA1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Dotacja, Wsparcie poprzez instrumenty finansowe: dotacje w ramach operacji instrumentu finansowego, Wsparcie poprzez instrumenty finansowe: pożyczka</w:t>
      </w:r>
    </w:p>
    <w:p w14:paraId="547721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7942DA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14BEB9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3CE47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BA149E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59E40C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2326C0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0C4CA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89668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D266E9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Przedsiębiorstwa realizujące cele publiczne, Służby publiczne</w:t>
      </w:r>
    </w:p>
    <w:p w14:paraId="466E84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8CCF3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audyt_energetyczny, budynek, emisja_gazów_cieplarnianych, gospodarka_niskoemisyjna, instrument_finansowy, oszczędność_energii, redukcja_emisji_CO2, redukcja_emisji_pyłów, termomodernizacja, zmniejszenie_emisji</w:t>
      </w:r>
    </w:p>
    <w:p w14:paraId="099B4E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621AC0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4D147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BB029B4" w14:textId="7D78D411"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10" w:history="1">
        <w:r w:rsidRPr="005B2474">
          <w:rPr>
            <w:rStyle w:val="Hipercze"/>
          </w:rPr>
          <w:t>https://funduszeuedlamazowsza.eu/uchwaly-km-fem/</w:t>
        </w:r>
      </w:hyperlink>
    </w:p>
    <w:p w14:paraId="503CA72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1E51E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0DD373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WLWK-PLRO029 - Dodatkowa zdolność wytwarzania energii cieplnej w warunkach wysokosprawnej kogeneracji</w:t>
      </w:r>
    </w:p>
    <w:p w14:paraId="03F47E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55A6A3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WLWK-PLRO028 - Dodatkowa zdolność wytwarzania energii elektrycznej w warunkach wysokosprawnej kogeneracji</w:t>
      </w:r>
    </w:p>
    <w:p w14:paraId="74E440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739CD2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WLWK-PLRO272 - Liczba gmin doposażonych w urządzenia do kontroli w zakresie jakości powietrza</w:t>
      </w:r>
    </w:p>
    <w:p w14:paraId="624F7C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WLWK-RCO104 - Liczba jednostek wysokosprawnej kogeneracji</w:t>
      </w:r>
    </w:p>
    <w:p w14:paraId="1E759F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WLWK-PLRO237 - Liczba powstałych magazynów energii cieplnej</w:t>
      </w:r>
    </w:p>
    <w:p w14:paraId="21777E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004A50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3E07E0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WLWK-PLRO256 - Liczba urządzeń pomiarowych służących kontroli jakości powietrza</w:t>
      </w:r>
    </w:p>
    <w:p w14:paraId="4F2D8B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215298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78B407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WLWK-PLRO255 - Liczba zakupionych mobilnych laboratoriów wraz z pełnym wyposażeniem służących kontroli jakości powietrza</w:t>
      </w:r>
    </w:p>
    <w:p w14:paraId="2D8750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WLWK-PLRO273 - Liczba zakupionych smogowozów</w:t>
      </w:r>
    </w:p>
    <w:p w14:paraId="3B1DDE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03FEB8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5E07C7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6B7EC2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78EF68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139AC9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  charakterystyce energetycznej</w:t>
      </w:r>
    </w:p>
    <w:p w14:paraId="343DE5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WLWK-RCO123 - Lokale mieszkalne wykorzystujące kotły i systemy ciepłownicze zasilane gazem ziemnym zastępujące instalacje zasilane stałymi paliwami kopalnymi</w:t>
      </w:r>
    </w:p>
    <w:p w14:paraId="458E697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WLWK-PLRO208 - Pojemność magazynów energii elektrycznej</w:t>
      </w:r>
    </w:p>
    <w:p w14:paraId="037093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WLWK-PLRO263 - Pojemność magazynu ciepła lub chłodu</w:t>
      </w:r>
    </w:p>
    <w:p w14:paraId="10D6B7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WLWK-PLRO022 - Powierzchnia użytkowa budynków mieszkalnych poddanych termomodernizacji</w:t>
      </w:r>
    </w:p>
    <w:p w14:paraId="1851CB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PROG-FEMA2RO005 - Liczba informacyjno-edukacyjnych serwisów internetowych związanych z ochroną powietrza</w:t>
      </w:r>
    </w:p>
    <w:p w14:paraId="14EF61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PROG-FEMA2RO004 - Liczba przeprowadzonych kampanii informacyjno-edukacyjnych promujących ochronę powietrza o zasięgu wojewódzkim</w:t>
      </w:r>
    </w:p>
    <w:p w14:paraId="3E6F7F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PROG-FEMA2RO003 - Liczba zatrudnionych ekodoradców</w:t>
      </w:r>
    </w:p>
    <w:p w14:paraId="567438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3A158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WLWK-RCR032 - Dodatkowa moc zainstalowana odnawialnych źródeł energii</w:t>
      </w:r>
    </w:p>
    <w:p w14:paraId="1FDADD2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WLWK-PLRR017 - Ilość wytworzonej energii cieplnej w warunkach wysokosprawnej kogeneracji</w:t>
      </w:r>
    </w:p>
    <w:p w14:paraId="2A638E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484C0F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WLWK-PLRR016 - Ilość wytworzonej energii elektrycznej w warunkach wysokosprawnej kogeneracji</w:t>
      </w:r>
    </w:p>
    <w:p w14:paraId="2901A8E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3FBA60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6C13A3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WLWK-PLRR011 - Ilość zaoszczędzonej energii elektrycznej</w:t>
      </w:r>
    </w:p>
    <w:p w14:paraId="486C944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WLWK-PLRR009 - Liczba dodatkowych użytkowników podłączonych do sieci ciepłowniczej</w:t>
      </w:r>
    </w:p>
    <w:p w14:paraId="0881DA7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WLWK-PLRR096 - Liczba skontrolowanych budynków w zakresie jakości powietrza</w:t>
      </w:r>
    </w:p>
    <w:p w14:paraId="78A7ADB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WLWK-PLRR097 - Ludność objęta kontrolą jakości powietrza</w:t>
      </w:r>
    </w:p>
    <w:p w14:paraId="53BF80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WLWK-PLRR073 - Roczne zużycie energii pierwotnej w: budynkach publicznych</w:t>
      </w:r>
    </w:p>
    <w:p w14:paraId="749F31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WLWK-PLRR072 - Roczne zużycie energii pierwotnej w: lokalach mieszkalnych</w:t>
      </w:r>
    </w:p>
    <w:p w14:paraId="1A3A2A9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4480430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WLWK-RCR105 - Szacowana emisja gazów cieplarnianych z kotłów i systemów ciepłowniczych przekształconych z zasilania stałymi paliwami kopalnymi na zasilanie gazem</w:t>
      </w:r>
    </w:p>
    <w:p w14:paraId="07979C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PROG-FEMA2RR005 - Liczba osób, które pozyskały informacje na temat ochrony powietrza</w:t>
      </w:r>
    </w:p>
    <w:p w14:paraId="5E5660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PROG-FEMA2RR004 - Liczba porad udzielonych mieszkańcom dotkniętym ubóstwem energetycznym</w:t>
      </w:r>
    </w:p>
    <w:p w14:paraId="32B531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PROG-FEMA2RR003 - Liczba porad udzielonych mieszkańcom w zakresie wymiany źródła ogrzewania i termomodernizacji</w:t>
      </w:r>
    </w:p>
    <w:p w14:paraId="6C43BAC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PROG-FEMA2RR006 - Liczba próbek popiołu, po przeprowadzonych kontrolach palenisk, przekazanych do badania w akredytowanych laboratoriach</w:t>
      </w:r>
    </w:p>
    <w:p w14:paraId="7D60ED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A8D1AF2"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 w:name="_Toc237347952"/>
      <w:r>
        <w:rPr>
          <w:rFonts w:ascii="Calibri" w:hAnsi="Calibri" w:cs="Calibri"/>
          <w:sz w:val="32"/>
        </w:rPr>
        <w:t>Działanie FEMA.02.02 Efektywność energetyczna w ZIT</w:t>
      </w:r>
      <w:bookmarkEnd w:id="8"/>
    </w:p>
    <w:p w14:paraId="624F5AB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9578C5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4EB00D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30F02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1EBB1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9F2BC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20 000 000,00</w:t>
      </w:r>
    </w:p>
    <w:p w14:paraId="004674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9F960A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5EFEF4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5ECA82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w:t>
      </w:r>
    </w:p>
    <w:p w14:paraId="12FB61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0C7A9E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Typ projektu: Poprawa efektywności energetycznej budynków publicznych i mieszkalnych zlokalizowanych na obszarze ZIT.</w:t>
      </w:r>
      <w:r>
        <w:br/>
        <w:t xml:space="preserve">Wsparciem objęte będą kompleksowe działania inwestycyjne przyczyniające się do poprawy efektywności energetycznej budynków użyteczności publicznej i budynków komunalnych. Dotacyjna forma wsparcia będzie miała zastosowanie do: </w:t>
      </w:r>
      <w:r>
        <w:br/>
        <w:t>- budynków komunalnych,</w:t>
      </w:r>
      <w:r>
        <w:br/>
        <w:t xml:space="preserve">- budynków publicznych zlokalizowanych na terenie gmin, których wskaźnik Gg będzie niższy od średniej wartości dla Mazowsza. </w:t>
      </w:r>
      <w:r>
        <w:br/>
        <w:t xml:space="preserve">W odniesieniu do przedsięwzięć wspieranych w ramach ww. działań zastosowanie będą mieć następujące zasady: </w:t>
      </w:r>
      <w:r>
        <w:br/>
        <w:t>Zakres działań projektu termomodernizacyjnego musi wynikać z audytu energetycznego. Inwestycja będzie kwalifikowalna, jeśli nastąpi wzrost efektywności energetycznej o co najmniej 30% w odniesieniu do stanu sprzed realizacji projektu (nie dotyczy to budynków zabytkowych). Osiągnięcie zamierzonych celów modernizacyjnych musi zostać potwierdzone audytem po zakończeniu rzeczowej realizacji projektu. W przypadku termomodernizowanego budynku konieczne jest odpowiednie zapewnienie ochrony schronień ptaków i/lub nietoperzy.</w:t>
      </w:r>
      <w:r>
        <w:br/>
        <w:t xml:space="preserve">W ramach prowadzonych działań termomodernizacyjnych ciepło musi być wytwarzane w oparciu o źródła niskoemisyjne, kogeneracyjne, odnawialne lub gazowe (wymiana źródła ciepła na indywidualne gazowe będzie możliwa wyłącznie, gdy rozwiązania oparte na OZE nie są technicznie wykonalne lub ekonomicznie uzasadnione). Prace w zakresie wymiany kotła grzewczego będą dopuszczone w przypadku, gdy podłączenie do sieci ciepłowniczej nie będzie ekonomicznie uzasadnione. </w:t>
      </w:r>
      <w:r>
        <w:br/>
        <w:t>Kwalifikowalne do dofinansowania będą w szczególności:</w:t>
      </w:r>
      <w:r>
        <w:br/>
        <w:t>•</w:t>
      </w:r>
      <w:r>
        <w:tab/>
        <w:t>ocieplenie ścian i dachu budynku, wymiana okien i drzwi zewnętrznych,</w:t>
      </w:r>
      <w:r>
        <w:br/>
        <w:t>•</w:t>
      </w:r>
      <w:r>
        <w:tab/>
        <w:t>modernizacja instalacji grzewczej wraz z wymianą kotła grzewczego, w tym z zastosowaniem mikrokogeneracji i/lub przyłączenia do sieci ciepłowniczej,</w:t>
      </w:r>
      <w:r>
        <w:br/>
        <w:t>•</w:t>
      </w:r>
      <w:r>
        <w:tab/>
        <w:t>budowa/przebudowa systemów wentylacji i klimatyzacji wraz z rekuperacją,</w:t>
      </w:r>
      <w:r>
        <w:br/>
        <w:t>•</w:t>
      </w:r>
      <w:r>
        <w:tab/>
        <w:t>wymiana oświetlenia w budynku na energooszczędne,</w:t>
      </w:r>
      <w:r>
        <w:br/>
        <w:t>•</w:t>
      </w:r>
      <w:r>
        <w:tab/>
        <w:t>instalacja urządzeń OZE wraz z magazynami energii,</w:t>
      </w:r>
      <w:r>
        <w:br/>
        <w:t>•</w:t>
      </w:r>
      <w:r>
        <w:tab/>
        <w:t>budowa/modernizacja systemów ciepłowniczych i chłodniczych (sieci) wraz z magazynami ciepła,</w:t>
      </w:r>
      <w:r>
        <w:br/>
        <w:t>•</w:t>
      </w:r>
      <w:r>
        <w:tab/>
        <w:t>projekty sieci ciepłowniczych w systemach, które nie uzyskały statusu efektywnych energetycznie,</w:t>
      </w:r>
      <w:r>
        <w:br/>
        <w:t>•</w:t>
      </w:r>
      <w:r>
        <w:tab/>
        <w:t>optymalizacja energetyczna istniejących budynków do poziomu nZEB (nearly zero-energy building).</w:t>
      </w:r>
      <w:r>
        <w:br/>
        <w:t>Preferowane będą projekty:</w:t>
      </w:r>
      <w:r>
        <w:br/>
        <w:t>•</w:t>
      </w:r>
      <w:r>
        <w:tab/>
        <w:t>osiągające wysoki stopień efektywności energetycznej,</w:t>
      </w:r>
      <w:r>
        <w:br/>
        <w:t>•</w:t>
      </w:r>
      <w:r>
        <w:tab/>
        <w:t>zapewniające wysoki poziom redukcji zanieczyszczeń oraz emisji CO2,</w:t>
      </w:r>
      <w:r>
        <w:br/>
        <w:t>•</w:t>
      </w:r>
      <w:r>
        <w:tab/>
        <w:t>wykorzystujące OZE,</w:t>
      </w:r>
      <w:r>
        <w:br/>
        <w:t>•</w:t>
      </w:r>
      <w:r>
        <w:tab/>
        <w:t>prowadzące do optymalizacji finansowej projektu przy jednoczesnej gwarancji uzyskania oszczędności energii.</w:t>
      </w:r>
      <w:r>
        <w:br/>
      </w:r>
      <w:r>
        <w:br/>
      </w:r>
      <w:r>
        <w:lastRenderedPageBreak/>
        <w:t>Wspierane projekty muszą wynikać ze strategii ZIT.</w:t>
      </w:r>
      <w:r>
        <w:br/>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w:t>
      </w:r>
      <w:r>
        <w:br/>
        <w:t>(DNSH).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p>
    <w:p w14:paraId="16CE163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B378C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1D275D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A3466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175CDB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04E41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3540ED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6EA3F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w:t>
      </w:r>
    </w:p>
    <w:p w14:paraId="338CC9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B15F0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Brak, do 7% stawka ryczałtowa na koszty pośrednie (podstawa wyliczenia: koszty bezpośrednie) [art. 54(a) CPR]</w:t>
      </w:r>
    </w:p>
    <w:p w14:paraId="53A6A8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B8C63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3DAFF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537B95E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7324F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01CFA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22CCC4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49111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C4734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B8CEF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6E95C7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18CD6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Organizacje społeczne i związki wyznaniowe, Partnerstwa, Przedsiębiorstwa realizujące cele publiczne, Służby publiczne, Zintegrowane Inwestycje Terytorialne (ZIT)</w:t>
      </w:r>
    </w:p>
    <w:p w14:paraId="5302C1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BB512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audyt_energetyczny, budynki_użyteczności_publicznej, emisja_gazów_cieplarnianych, niska_emisja, ocieplenie_budynku, oszczędność_energii, redukcja_emisji_pyłów, rekuperacja, termomodernizacja, zużycie_energii</w:t>
      </w:r>
    </w:p>
    <w:p w14:paraId="5C9E03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506BE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ED29AE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08EA235" w14:textId="6D6F51B0"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11" w:history="1">
        <w:r w:rsidRPr="005B2474">
          <w:rPr>
            <w:rStyle w:val="Hipercze"/>
          </w:rPr>
          <w:t>https://funduszeuedlamazowsza.eu/uchwaly-km-fem/</w:t>
        </w:r>
      </w:hyperlink>
    </w:p>
    <w:p w14:paraId="0AF1AD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4A7AC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5F8849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WLWK-PLRO029 - Dodatkowa zdolność wytwarzania energii cieplnej w warunkach wysokosprawnej kogeneracji</w:t>
      </w:r>
    </w:p>
    <w:p w14:paraId="0A88DC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3F90ED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WLWK-PLRO028 - Dodatkowa zdolność wytwarzania energii elektrycznej w warunkach wysokosprawnej kogeneracji</w:t>
      </w:r>
    </w:p>
    <w:p w14:paraId="35E8D4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WLWK-PLRO026 - Dodatkowa zdolność wytwarzania energii elektrycznej ze źródeł OZE</w:t>
      </w:r>
    </w:p>
    <w:p w14:paraId="401C1A1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WLWK-RCO104 - Liczba jednostek wysokosprawnej kogeneracji</w:t>
      </w:r>
    </w:p>
    <w:p w14:paraId="1120D7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33E964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1BC825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684CD13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66042D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4953BD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2CA65E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058F06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5AFF39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0C4898E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  charakterystyce energetycznej</w:t>
      </w:r>
    </w:p>
    <w:p w14:paraId="581F84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4C2748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WLWK-PLRO208 - Pojemność magazynów energii elektrycznej</w:t>
      </w:r>
    </w:p>
    <w:p w14:paraId="1A06AB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WLWK-PLRO263 - Pojemność magazynu ciepła lub chłodu</w:t>
      </w:r>
    </w:p>
    <w:p w14:paraId="0CFD59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WLWK-PLRO022 - Powierzchnia użytkowa budynków mieszkalnych poddanych termomodernizacji</w:t>
      </w:r>
    </w:p>
    <w:p w14:paraId="6E6C6B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505CDC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574088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WLWK-RCR032 - Dodatkowa moc zainstalowana odnawialnych źródeł energii</w:t>
      </w:r>
    </w:p>
    <w:p w14:paraId="1F787A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WLWK-PLRR017 - Ilość wytworzonej energii cieplnej w warunkach wysokosprawnej kogeneracji</w:t>
      </w:r>
    </w:p>
    <w:p w14:paraId="6BF083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04F823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WLWK-PLRR016 - Ilość wytworzonej energii elektrycznej w warunkach wysokosprawnej kogeneracji</w:t>
      </w:r>
    </w:p>
    <w:p w14:paraId="3E7B3E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19267A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7441C2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WLWK-PLRR011 - Ilość zaoszczędzonej energii elektrycznej</w:t>
      </w:r>
    </w:p>
    <w:p w14:paraId="19DE9C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WLWK-PLRR009 - Liczba dodatkowych użytkowników podłączonych do sieci ciepłowniczej</w:t>
      </w:r>
    </w:p>
    <w:p w14:paraId="0C2364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WLWK-PLRR073 - Roczne zużycie energii pierwotnej w: budynkach publicznych</w:t>
      </w:r>
    </w:p>
    <w:p w14:paraId="44D176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WLWK-PLRR072 - Roczne zużycie energii pierwotnej w: lokalach mieszkalnych</w:t>
      </w:r>
    </w:p>
    <w:p w14:paraId="32C4AD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3E3E82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WLWK-RCR105 - Szacowana emisja gazów cieplarnianych z kotłów i systemów ciepłowniczych przekształconych z zasilania stałymi paliwami kopalnymi na zasilanie gazem</w:t>
      </w:r>
    </w:p>
    <w:p w14:paraId="7F2C8F2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B7D5443"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 w:name="_Toc237347953"/>
      <w:r>
        <w:rPr>
          <w:rFonts w:ascii="Calibri" w:hAnsi="Calibri" w:cs="Calibri"/>
          <w:sz w:val="32"/>
        </w:rPr>
        <w:lastRenderedPageBreak/>
        <w:t>Działanie FEMA.02.03 Odnawialne źródła energii</w:t>
      </w:r>
      <w:bookmarkEnd w:id="9"/>
    </w:p>
    <w:p w14:paraId="421681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461D3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EFRR/FS.CP2.II - Wspieranie energii odnawialnej zgodnie z dyrektywą (UE) 2018/2001, w tym określonymi w niej kryteriami zrównoważonego rozwoju</w:t>
      </w:r>
    </w:p>
    <w:p w14:paraId="67FC82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D29A1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1333C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5AC9F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39 984 118,00</w:t>
      </w:r>
    </w:p>
    <w:p w14:paraId="0A76AB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5979C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30 000 000,00</w:t>
      </w:r>
    </w:p>
    <w:p w14:paraId="245D50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AF817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047 - Energia odnawialna: wiatrowa, 048 - Energia odnawialna: słoneczna, 049 - Energia odnawialna: biomasa, 052 - Inne rodzaje energii odnawialnej (w tym energia geotermalna)</w:t>
      </w:r>
    </w:p>
    <w:p w14:paraId="0A9A441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B3205E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Budowa i rozbudowa instalacji odnawialnych źródeł energii w zakresie wytwarzania energii elektrycznej i ciepła wraz z infrastrukturą powiązaną (z magazynami energii i ciepła działającymi na potrzeby danego źródła OZE oraz przyłączeniem do sieci),</w:t>
      </w:r>
      <w:r>
        <w:br/>
        <w:t>2.</w:t>
      </w:r>
      <w:r>
        <w:tab/>
        <w:t>Magazyny energii i ciepła.</w:t>
      </w:r>
      <w:r>
        <w:br/>
        <w:t>Ad. 1 Moce instalacji przewidziane do dofinansowania w ramach energii elektrycznej:</w:t>
      </w:r>
      <w:r>
        <w:br/>
        <w:t>•</w:t>
      </w:r>
      <w:r>
        <w:tab/>
        <w:t>biomasa: nie więcej niż 5 MWe,</w:t>
      </w:r>
      <w:r>
        <w:br/>
        <w:t>•</w:t>
      </w:r>
      <w:r>
        <w:tab/>
        <w:t>biogaz: nie więcej niż 0,5 MWe,</w:t>
      </w:r>
      <w:r>
        <w:br/>
        <w:t xml:space="preserve">Zaproponowane limity mocy nie dotyczą projektów realizowanych przez klastry energii lub spółdzielnie energetyczne oraz projektów parasolowych. Pozostałe rodzaje OZE mogą być wspierane bez ograniczeń w zakresie mocy. Zasady wsparcia nie mogą być korzystniejsze od oferty programu krajowego. </w:t>
      </w:r>
      <w:r>
        <w:br/>
        <w:t xml:space="preserve">Inwestycje w elektrownie wodne ograniczone będą do działań dotyczących istniejących obiektów. Nie mogą one powodować nieosiągnięcia dobrego stanu lub potencjału jednolitych części wód, nie mogą pogarszać stanu lub potencjału jednolitych części wód oraz nie mogą mieć znaczącego wpływu na cele ochrony obszarów objętych siecią Natura 2000. </w:t>
      </w:r>
      <w:r>
        <w:br/>
        <w:t>Moce przewidziane do dofinansowania w ramach energii cieplnej:</w:t>
      </w:r>
      <w:r>
        <w:br/>
        <w:t>• biomasa: nie więcej niż 5 MWt,</w:t>
      </w:r>
      <w:r>
        <w:br/>
        <w:t>• biogaz: nie więcej niż 0,5 MWt.</w:t>
      </w:r>
      <w:r>
        <w:br/>
        <w:t>Zaproponowane limity mocy nie dotyczą projektów realizowanych przez klastry energii lub spółdzielnie energetyczne. Pozostałe rodzaje OZE mogą być wspierane bez ograniczeń w zakresie mocy. Zasady wsparcia nie mogą być korzystniejsze od oferty programu krajowego.</w:t>
      </w:r>
      <w:r>
        <w:br/>
      </w:r>
      <w:r>
        <w:lastRenderedPageBreak/>
        <w:t>Możliwe do realizacji będą przedsięwzięcia polegające na budowie nowych lub zwiększeniu mocy (w wyniku rozbudowy lub przebudowy) istniejących jednostek wytwarzania energii elektrycznej i ciepła z OZE w technologii wysokosprawnej kogeneracji. Interwencja będzie dedykowana jednostkom o małej mocy wytwarzania, mającej charakter lokalny, wykorzystywanej zarówno na potrzeby pojedynczych obiektów jak i grupy budynków. Dzięki takim układom osiągnięty zostanie wzrost ogólnej sprawności wykorzystania ciepła i tym samym nastąpi zmniejszenie strat związanych z przesyłem. Możliwe jedynie wykorzystanie wcześniej zainwestowanych terenów, w tym poprzemysłowych, pokolejowych, powojskowych.</w:t>
      </w:r>
      <w:r>
        <w:br/>
        <w:t>Ad.2</w:t>
      </w:r>
      <w:r>
        <w:br/>
        <w:t xml:space="preserve">Wspierane będą magazyny energii lub ciepła działające na potrzeby danego źródła, jako oddzielne inwestycje niestanowiące elementu projektu. </w:t>
      </w:r>
      <w:r>
        <w:br/>
        <w:t xml:space="preserve">W odniesieniu do przedsięwzięć wspieranych w ramach ww. działań zastosowanie będą mieć następujące zasady: </w:t>
      </w:r>
      <w:r>
        <w:br/>
        <w:t xml:space="preserve">Wsparcie na produkcję energii z biomasy i biogazu będzie możliwe pod warunkiem, że zostały wyprodukowane zgodnie z kryteriami zrównoważonego rozwoju określonymi w art. 29 Dyrektywa Parlamentu Europejskiego i Rady (UE) 2018/2001 z dnia 11 grudnia 2018 r. w sprawie promowania stosowania energii ze źródeł odnawialnych. </w:t>
      </w:r>
      <w:r>
        <w:br/>
        <w:t xml:space="preserve">Wspierane będą zespoły instalacji oraz pojedyncze jednostki, które mogą być wspomagane magazynami energii. Współfinansowane będą również przyłącza do sieci dystrybucyjnej/przesyłowej jako element projektu. Wspierane będą inwestycje na terenach wcześniej zainwestowanych, w tym poprzemysłowych, pokolejowych, powojskowych. </w:t>
      </w:r>
      <w:r>
        <w:br/>
        <w:t xml:space="preserve">Preferowane będą projekty: </w:t>
      </w:r>
      <w:r>
        <w:br/>
        <w:t>•</w:t>
      </w:r>
      <w:r>
        <w:tab/>
        <w:t>inwestycyjne w formule instalacji hybrydowej np. pompy ciepła wraz z panelami fotowoltaicznymi;</w:t>
      </w:r>
      <w:r>
        <w:br/>
        <w:t>•</w:t>
      </w:r>
      <w:r>
        <w:tab/>
        <w:t>wykazujące jak najwyższe do osiągnięcia efekty oraz inne planowane do osiągnięcia rezultaty w stosunku do planowanych nakładów finansowych np. wielkość redukcji CO2;</w:t>
      </w:r>
      <w:r>
        <w:br/>
        <w:t>•</w:t>
      </w:r>
      <w:r>
        <w:tab/>
        <w:t>uwzględniające najwyższą efektywności kosztową – najlepszy stosunek wielkości środków unijnych przeznaczonych na uzyskanie 1 MWh energii lub 1 MW mocy zainstalowanej wynikającej z budowy danej instalacji;</w:t>
      </w:r>
      <w:r>
        <w:br/>
      </w:r>
      <w:r>
        <w:br/>
        <w:t xml:space="preserve">Preferencje punktowe mogą być stosowane w projektach: </w:t>
      </w:r>
      <w:r>
        <w:br/>
        <w:t>1. skierowanych na obszary strategicznej interwencji (OSI) wyznaczone w KSRR i wynikające z SR WM 2030+, tj. miast średnich tracących funkcje społeczno-gospodarcze oraz gmin zagrożonych trwałą marginalizacją,</w:t>
      </w:r>
      <w:r>
        <w:br/>
        <w:t>2. realizowanych w ramach MSIT lub wynikające z GPR.</w:t>
      </w:r>
      <w:r>
        <w:br/>
      </w:r>
      <w:r>
        <w:br/>
        <w:t>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r>
      <w:r>
        <w:br/>
      </w:r>
      <w:r>
        <w:lastRenderedPageBreak/>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br/>
        <w:t>•</w:t>
      </w:r>
      <w:r>
        <w:tab/>
        <w:t>w regionie Mazowieckim regionalnym – 85%,</w:t>
      </w:r>
      <w:r>
        <w:br/>
        <w:t>•</w:t>
      </w:r>
      <w:r>
        <w:tab/>
        <w:t>w regionie Warszawskim stołecznym – 50%.</w:t>
      </w:r>
      <w:r>
        <w:br/>
      </w:r>
      <w:r>
        <w:br/>
        <w:t>Wskazane typy projektów w zakresie inwestycji w OZE, jako finansowo wykonalne są finansowane głównie w formie instrumentów finansowych, tj. pożyczek inwestycyjnych z komponentem dotacyjnym w formie rabatu kapitałowego, do wysokości zgodnie z regułami pomocy publicznej. Umorzenie będzie dotyczyło przypadków, w których osiągnięty zostanie odpowiednio wysoki poziom określonych wskaźników. Zostanie zastosowane zróżnicowanie podejście w zależności od typu regionu RMR i RWS. Komponent dotacyjny powinien obejmować elementy projektów dotyczące działań niegenerujących dochodu, technicznego zarządzania instalacjami, m.in. magazyny energii.</w:t>
      </w:r>
      <w:r>
        <w:br/>
        <w:t xml:space="preserve">Grupę Ostatecznych Odbiorców IF stanowią w szczególności JST, przedsiębiorstwa, SM, TBS, Wspólnoty mieszkaniowe, SIM, klastry i spółdzielnie energetyczne. </w:t>
      </w:r>
    </w:p>
    <w:p w14:paraId="291A7F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8A513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FE2E7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ED1B1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D82EF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33889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4AF3CE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63989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w:t>
      </w:r>
      <w:r>
        <w:lastRenderedPageBreak/>
        <w:t>Polityki Regionalnej z dnia 17 kwietnia 2024 r. w sprawie udzielania pomocy de minimis w ramach regionalnych programów na lata 2021–2027 (Dz.U. 2024 poz. 598)</w:t>
      </w:r>
    </w:p>
    <w:p w14:paraId="684CEA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9D3FF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04F65B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A1A995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697A0A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9FF427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0A566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45E3BE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E2DB0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9EBB51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528F5C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0CCE0A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ED362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E6373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Osoby fizyczne, Partnerstwa, Przedsiębiorstwa, Przedsiębiorstwa realizujące cele publiczne, Służby publiczne, Zintegrowane Inwestycje Terytorialne (ZIT)</w:t>
      </w:r>
    </w:p>
    <w:p w14:paraId="484312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01918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instrument_finansowy, magazyn_ciepła, magazyn_energii, odnawialne_źródła_energii, ogrzewanie_sieciowe, oszczędność_energii, panele_fotowoltaiczne, pompy_ciepła, spółdzielnie_energetyczne, wysokosprawna_kogeneracja</w:t>
      </w:r>
    </w:p>
    <w:p w14:paraId="6DD854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F38F8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7A37A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58E6692" w14:textId="4EC98FC1"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12" w:history="1">
        <w:r w:rsidRPr="005B2474">
          <w:rPr>
            <w:rStyle w:val="Hipercze"/>
          </w:rPr>
          <w:t>https://funduszeuedlamazowsza.eu/uchwaly-km-fem/</w:t>
        </w:r>
      </w:hyperlink>
    </w:p>
    <w:p w14:paraId="4301AFB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2BE5C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WLWK-PLRO029 - Dodatkowa zdolność wytwarzania energii cieplnej w warunkach wysokosprawnej kogeneracji</w:t>
      </w:r>
    </w:p>
    <w:p w14:paraId="4BFD67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536FAB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WLWK-PLRO028 - Dodatkowa zdolność wytwarzania energii elektrycznej w warunkach wysokosprawnej kogeneracji</w:t>
      </w:r>
    </w:p>
    <w:p w14:paraId="7E2129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593E58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47DF42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5B05E07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WLWK-RCO097 - Liczba wspartych społeczności energetycznych działających w zakresie energii odnawialnej</w:t>
      </w:r>
    </w:p>
    <w:p w14:paraId="0B8029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4ECA43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40811E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34874A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4531D6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WLWK-PLRO208 - Pojemność magazynów energii elektrycznej</w:t>
      </w:r>
    </w:p>
    <w:p w14:paraId="23FFDD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WLWK-PLRO263 - Pojemność magazynu ciepła lub chłodu</w:t>
      </w:r>
    </w:p>
    <w:p w14:paraId="29D3C8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CAEA5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WLWK-RCR032 - Dodatkowa moc zainstalowana odnawialnych źródeł energii</w:t>
      </w:r>
    </w:p>
    <w:p w14:paraId="1309D5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WLWK-PLRR017 - Ilość wytworzonej energii cieplnej w warunkach wysokosprawnej kogeneracji</w:t>
      </w:r>
    </w:p>
    <w:p w14:paraId="7B5BA8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0665F6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WLWK-PLRR016 - Ilość wytworzonej energii elektrycznej w warunkach wysokosprawnej kogeneracji</w:t>
      </w:r>
    </w:p>
    <w:p w14:paraId="10AB15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0E66A2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26C78C1"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 w:name="_Toc237347954"/>
      <w:r>
        <w:rPr>
          <w:rFonts w:ascii="Calibri" w:hAnsi="Calibri" w:cs="Calibri"/>
          <w:sz w:val="32"/>
        </w:rPr>
        <w:t>Działanie FEMA.02.04 Dostosowanie do zmian klimatu</w:t>
      </w:r>
      <w:bookmarkEnd w:id="10"/>
    </w:p>
    <w:p w14:paraId="66613A5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B08C8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EFRR/FS.CP2.IV - Wspieranie przystosowania się do zmian klimatu i zapobiegania ryzyku związanemu z klęskami żywiołowymi i katastrofami, a także odporności, z uwzględnieniem podejścia ekosystemowego</w:t>
      </w:r>
    </w:p>
    <w:p w14:paraId="5B09FB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8FDE1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EAF92A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098FB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130 361 411,00</w:t>
      </w:r>
    </w:p>
    <w:p w14:paraId="27EEEB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3D553F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102 046 000,00</w:t>
      </w:r>
    </w:p>
    <w:p w14:paraId="7A0258E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Zakres interwencji</w:t>
      </w:r>
    </w:p>
    <w:p w14:paraId="4719AE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059 - Działania w zakresie przystosowania się do zmian klimatu oraz zapobieganie ryzykom związanym z klimatem i zarządzanie nimi: pożary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14:paraId="3F5B4A1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C3581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Sprzęt i infrastruktura do celów zarządzania klęskami i katastrofami,</w:t>
      </w:r>
      <w:r>
        <w:br/>
        <w:t>2.</w:t>
      </w:r>
      <w:r>
        <w:tab/>
        <w:t xml:space="preserve"> Zwiększanie ochrony przeciwpowodziowej i ograniczenie skutków suszy poprzez retencjonowanie wód opadowych,</w:t>
      </w:r>
      <w:r>
        <w:br/>
        <w:t>3.</w:t>
      </w:r>
      <w:r>
        <w:tab/>
        <w:t>Przeciwdziałanie skutkom suszy oraz ulewnych deszczy na obszarach zurbanizowanych poprzez zastosowanie zielonej i błękitnej infrastruktury.</w:t>
      </w:r>
      <w:r>
        <w:br/>
        <w:t>W typie projektu: Sprzęt i infrastruktura do celów zarządzania klęskami i katastrofami przewiduje się wsparcie dla następujących działań:</w:t>
      </w:r>
      <w:r>
        <w:br/>
        <w:t>•</w:t>
      </w:r>
      <w:r>
        <w:tab/>
        <w:t xml:space="preserve">zakup średnich wozów ratowniczo-gaśniczych, ciężkich wozów ratowniczo-gaśniczych oraz lekkiego sprzętu ratowniczego, </w:t>
      </w:r>
      <w:r>
        <w:br/>
        <w:t>•</w:t>
      </w:r>
      <w:r>
        <w:tab/>
        <w:t>zakup sprzętu stanowiącego wyposażenie specjalistycznych grup ratownictwa wysokościowego, wodnego, chemiczno-ekologicznego, grup poszukiwawczo – ratowniczych,</w:t>
      </w:r>
      <w:r>
        <w:br/>
        <w:t>•</w:t>
      </w:r>
      <w:r>
        <w:tab/>
        <w:t xml:space="preserve">doposażenie w sprzęt jednostek OSP realizujących zadania w zakresie ochrony przeciwpowodziowej, wspieranie działań służących rozwojowi systemów ratownictwa oraz usprawnienie potencjału służb publicznych w ramach rozwoju systemów monitoringu oraz podnoszenia kwalifikacji w zakresie działań ratowniczych, w tym związanych z zapobieganiem i przeciwdziałaniem skutkom zjawisk katastrofalnych (szkolenia). Ponadto możliwe będzie wsparcie infrastruktury (w tym szkoleniowej) dla OSP, </w:t>
      </w:r>
      <w:r>
        <w:br/>
        <w:t xml:space="preserve">• prognozowania i ostrzegania środowiskowego wykorzystujące technologie dokładnej identyfikacji i mapowania obszarów zagrożeń) oraz skutecznego informowania mieszkańców o określonych zagrożeniach środowiskowych i meteorologicznych, </w:t>
      </w:r>
      <w:r>
        <w:br/>
        <w:t>•</w:t>
      </w:r>
      <w:r>
        <w:tab/>
        <w:t>edukacyjnych, dotyczących zmian klimatu i ochrony zasobów wodnych. Działania edukacyjne obejmować będą tematykę: konsekwencji jakie mogą powodować zmiany klimatu, sposobów przeciwdziałania i adaptacji, w tym promowania właściwych postaw i zachowań, zarówno zmniejszających wpływ człowieka na klimat, jak i właściwych w momencie wystąpienia katastrofalnych zjawisk pochodzenia naturalnego (element uzupełniający projektu).</w:t>
      </w:r>
      <w:r>
        <w:br/>
        <w:t>W odniesieniu do przedsięwzięć wspieranych w ramach ww. działań zastosowanie będą mieć następujące zasady:</w:t>
      </w:r>
      <w:r>
        <w:br/>
        <w:t>Warunkiem współfinansowania jest przynależność OSP do Krajowego Systemu Ratowniczo-Gaśniczego.</w:t>
      </w:r>
      <w:r>
        <w:br/>
        <w:t xml:space="preserve">Możliwe jest także współfinansowanie OSP, które ubiegają się o włączenie do Systemu, a realizacja </w:t>
      </w:r>
      <w:r>
        <w:lastRenderedPageBreak/>
        <w:t xml:space="preserve">projektu przyczyni się do spełnienia warunków umożliwiających ich integrację z tym systemem. </w:t>
      </w:r>
      <w:r>
        <w:br/>
        <w:t xml:space="preserve">W typie projektu: Zwiększanie ochrony przeciwpowodziowej i ograniczenie skutków suszy poprzez retencjonowanie wód opadowych przewiduje się wsparcie dla następujących działań: </w:t>
      </w:r>
      <w:r>
        <w:br/>
        <w:t>•</w:t>
      </w:r>
      <w:r>
        <w:tab/>
        <w:t xml:space="preserve">budowa lub rozbudowa otwartych zbiorników retencyjnych, zbiorników małej retencji wodnej i budowli hydrotechnicznych np.: przebudowa rowów i kanałów, tworzenie polderów zalewowych, szczególnie na terenach otwartych wokół miast i innych jednostek osadniczych, </w:t>
      </w:r>
      <w:r>
        <w:br/>
        <w:t>•</w:t>
      </w:r>
      <w:r>
        <w:tab/>
        <w:t>retencjonowanie wód opadowych, zwiększanie lesistości i terenów zielonych szczególnie na terenach otwartych wokół miast i innych jednostek osadniczych,</w:t>
      </w:r>
      <w:r>
        <w:br/>
        <w:t>•</w:t>
      </w:r>
      <w:r>
        <w:tab/>
        <w:t xml:space="preserve">edukacyjnych, dotyczących zmian klimatu i ochrony zasobów wodnych. Działania edukacyjne obejmować będą tematykę: konsekwencji jakie mogą powodować zmiany klimatu, sposobów przeciwdziałania i adaptacji, w tym promowania właściwych postaw i zachowań, zarówno zmniejszających wpływ człowieka na klimat, jak i właściwych w momencie wystąpienia katastrofalnych zjawisk pochodzenia naturalnego (element uzupełniający projektu). </w:t>
      </w:r>
      <w:r>
        <w:br/>
        <w:t>W odniesieniu do przedsięwzięć wspieranych w ramach ww. działań zastosowanie będą mieć następujące zasady:</w:t>
      </w:r>
      <w:r>
        <w:br/>
        <w:t>•</w:t>
      </w:r>
      <w:r>
        <w:tab/>
        <w:t>Przedmiotowy obszar musi być realizowany m.in. w zgodzie z dyrektywą siedliskową (dyrektywa Rady 92/43/EWG z dnia 21 maja 1992 r. w sprawie ochrony siedlisk przyrodniczych oraz dzikiej fauny i flory), dyrektywą w sprawie ochrony dzikiego ptactwa (dyrektywa Rady 2009/147/WE z dnia 30 listopada 2009 r. w sprawie ochrony dzikiego ptactwa), a także z ramową dyrektywą wodną (dyrektywa 2000/60/WE Parlamentu Europejskiego i Rady z dnia 23 października 2000 r. ustanawiająca ramy wspólnotowego działania w dziedzinie polityki wodnej). Dotyczy to w szczególności infrastruktury hydrotechnicznej, w celu zachowania dobrego stanu wód.</w:t>
      </w:r>
      <w:r>
        <w:br/>
        <w:t>•</w:t>
      </w:r>
      <w:r>
        <w:tab/>
        <w:t>Wspierane inwestycje nie mogą co do zasady powodować nieosiągnięcia dobrego stanu lub potencjału jednolitych części wód, nie mogą też pogarszać stanu lub potencjału jednolitych części wód oraz nie mogą mieć znaczącego wpływu na cele ochrony obszarów objętych siecią Natura 2000, chyba że zachodzą przesłanki do odstępstw przewidzianych w dyrektywie siedliskowej. Realizacja projektów powinna być zgodna z horyzontalną zasadą DNSH. Projekty, które powodują zastosowanie art. 4 ust. 7 Ramowej Dyrektywy Wodnej, nie będą wspierane.</w:t>
      </w:r>
      <w:r>
        <w:br/>
        <w:t xml:space="preserve">Preferowane mogą być projekty </w:t>
      </w:r>
      <w:r>
        <w:br/>
        <w:t>•</w:t>
      </w:r>
      <w:r>
        <w:tab/>
        <w:t>oparte na retencji wody w naturalnych i półnaturalnych ekosystemach,</w:t>
      </w:r>
      <w:r>
        <w:br/>
        <w:t>•</w:t>
      </w:r>
      <w:r>
        <w:tab/>
        <w:t>uczestników i podmiotów zaangażowanych we współpracę międzyregionalną.</w:t>
      </w:r>
      <w:r>
        <w:br/>
        <w:t>W typie projektu: Przeciwdziałanie skutkom suszy oraz ulewnych deszczy na obszarach zurbanizowanych poprzez zastosowanie zielonej i błękitnej infrastruktury przewiduje się wsparcie dla następujących działań:</w:t>
      </w:r>
      <w:r>
        <w:br/>
        <w:t>•</w:t>
      </w:r>
      <w:r>
        <w:tab/>
        <w:t xml:space="preserve"> budowa, rozbudowa lub przebudowa różnego rodzaju zbiorników retencyjnych, systemów infiltracyjnych, systemów sedymentacyjno-biofiltracyjnych, powierzchni przepuszczalnych na dużych powierzchniach (m.in. na boiskach, parkingach, placach, podwórkach), których celem jest przede wszystkim zatrzymanie wód opadowych w miejscu opadu;</w:t>
      </w:r>
      <w:r>
        <w:br/>
        <w:t>•</w:t>
      </w:r>
      <w:r>
        <w:tab/>
        <w:t>zakładanie parków miejskich, powierzchniowych i podziemnych zbiorników szczelnych, ogrodów deszczowych, zwiększanie powierzchni zieleni (np. parków, zieleńców, zieleni ulicznej, skwerów, łąk kwietnych, zieleni osiedlowej, zielonych podwórek, zielonych dachów i fasad budynków, ogrodów deszczowych, zielonych przystanków komunikacji miejskiej);</w:t>
      </w:r>
      <w:r>
        <w:br/>
      </w:r>
      <w:r>
        <w:lastRenderedPageBreak/>
        <w:t>•</w:t>
      </w:r>
      <w:r>
        <w:tab/>
        <w:t xml:space="preserve">niebieska infrastruktura związana z systemem gospodarowania wodą, dotycząca: </w:t>
      </w:r>
      <w:r>
        <w:br/>
        <w:t>- retencji wodnej i elementów systemu wodnego, mającego na celu gromadzenie wody opadowej (w tym, budowy przydomowych zbiorników retencjonujących wodę),</w:t>
      </w:r>
      <w:r>
        <w:br/>
        <w:t xml:space="preserve">- systemu drenażu i elementów miejskiego systemu wodnego, mającego na celu odwadnianie i odprowadzanie wody deszczowej, tzw. kanalizacji deszczowej, uwzględniającej zagospodarowanie wód opadowych w miejscu powstawania. System odprowadzenia deszczówki (budowa i modernizacja) musi być połączeniem kanalizacji deszczowej i rynien np.: ze stawem, zbiornikiem, rowem gromadzącym wody opadowe. </w:t>
      </w:r>
      <w:r>
        <w:br/>
        <w:t xml:space="preserve">Tego typu inwestycje mogą być kwalifikowalne, jeżeli wynikają z miejskiego planu adaptacji do zmian klimatu. Projekty obejmujące budowę lub przebudowę kanalizacji deszczowej będą zawierać komponenty zielonej i niebieskiej infrastruktury. W przypadku beneficjentów, dla których MPA nie jest dokumentem obligatoryjnym, realizacja projektu może wynikać z zagrożenia powodziowego. Niedopuszczalne jest finansowanie przedsięwzięcia zakładającego odprowadzanie wód opadowych do kanalizacji ogólnospławnej; </w:t>
      </w:r>
      <w:r>
        <w:br/>
        <w:t>•</w:t>
      </w:r>
      <w:r>
        <w:tab/>
        <w:t xml:space="preserve">edukacyjnych, dotyczących zmian klimatu i ochrony zasobów wodnych. Działania edukacyjne obejmować będą tematykę: konsekwencji jakie mogą powodować zmiany klimatu, sposobów przeciwdziałania i adaptacji, w tym promowania właściwych postaw i zachowań, zarówno zmniejszających wpływ człowieka na klimat, jak i właściwych w momencie wystąpienia katastrofalnych zjawisk pochodzenia naturalnego (element uzupełniający projektu). </w:t>
      </w:r>
      <w:r>
        <w:br/>
        <w:t>W odniesieniu do przedsięwzięć wspieranych w ramach ww. działań zastosowanie będą mieć następujące zasady:</w:t>
      </w:r>
      <w:r>
        <w:br/>
        <w:t>Ze wsparcia zostaną wyłączone miasta, do których adresowana jest interwencja FEPW tj.: Ciechanów, Ostrołęka, Ostrów Mazowiecka, Siedlce, Mława.</w:t>
      </w:r>
      <w:r>
        <w:br/>
        <w:t>Wsparcie skierowane jest do miast do 20 tysięcy mieszkańców oraz stolic powiatów do 15 tysięcy mieszkańców.</w:t>
      </w:r>
      <w:r>
        <w:br/>
      </w:r>
      <w:r>
        <w:br/>
        <w:t>Premiowane mogą być projekty uczestników i podmiotów zaangażowanych we współpracę międzyregionalną.</w:t>
      </w:r>
      <w:r>
        <w:br/>
      </w:r>
      <w:r>
        <w:br/>
        <w:t xml:space="preserve">Preferencje punktowe mogą być stosowane w projektach: </w:t>
      </w:r>
      <w:r>
        <w:br/>
        <w:t>1.skierowanych na obszary strategicznej interwencji (OSI) wyznaczone w KSRR i wynikające z SR WM 2030+, tj. miast średnich tracących funkcje społeczno-gospodarcze oraz gmin zagrożonych trwałą marginalizacją,</w:t>
      </w:r>
      <w:r>
        <w:br/>
        <w:t>2. realizowanych w ramach MSIT lub wynikające z GPR.</w:t>
      </w:r>
      <w:r>
        <w:br/>
      </w:r>
      <w:r>
        <w:br/>
        <w:t>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t xml:space="preserve">W przypadku, gdy łączny koszt operacji nie przekracza 200 000 EUR  koszty pośrednie w projekcie finansowane muszą być w oparciu o wskazaną w Regulaminie wyboru projektów stawkę ryczałtową, z </w:t>
      </w:r>
      <w:r>
        <w:lastRenderedPageBreak/>
        <w:t>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p>
    <w:p w14:paraId="1BC0CF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EE1F5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D9C500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0B6577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E4611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11D07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21BE28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73731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3B6564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BC6EF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59DC7E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AE8BE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DDF4D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ABEF73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5B1FB85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AEF27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73D814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3A506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2D01C5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800BF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FC7C1C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D6096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Organizacje społeczne i związki wyznaniowe, Przedsiębiorstwa realizujące cele publiczne, Służby publiczne</w:t>
      </w:r>
    </w:p>
    <w:p w14:paraId="7D72E0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3B1FBC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odpowiedzialne za gospodarkę wodną</w:t>
      </w:r>
    </w:p>
    <w:p w14:paraId="4B8AAA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1CA6B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adaptacja_do_zmian_klimatu, budowle_przeciwpowodziowe, klęski_żywiołowe, mała_retencja, pożary, retencja, straż_pożarna, susza, zielona_infrastruktura, zmiany_klimatu</w:t>
      </w:r>
    </w:p>
    <w:p w14:paraId="6D7E9D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D74BB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24F2D5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28C17C2" w14:textId="76C611DE"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13" w:history="1">
        <w:r w:rsidRPr="005B2474">
          <w:rPr>
            <w:rStyle w:val="Hipercze"/>
          </w:rPr>
          <w:t>https://funduszeuedlamazowsza.eu/uchwaly-km-fem/</w:t>
        </w:r>
      </w:hyperlink>
    </w:p>
    <w:p w14:paraId="337858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AEFA2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WLWK-PLRO058 - Długość wybudowanej sieci kanalizacji deszczowej</w:t>
      </w:r>
    </w:p>
    <w:p w14:paraId="462A4F1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WLWK-PLRO239 - Długość wybudowanych, przebudowanych lub zmodernizowanych wałów przeciwpowodziowych</w:t>
      </w:r>
    </w:p>
    <w:p w14:paraId="6029973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WLWK-PLRO059 - Długość zmodernizowanej sieci kanalizacji deszczowej</w:t>
      </w:r>
    </w:p>
    <w:p w14:paraId="369B4C6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WLWK-PLRO171 - Liczba jednolitych części wód, w których realizacja projektu przyczyniła się do poprawy stanu/potencjału</w:t>
      </w:r>
    </w:p>
    <w:p w14:paraId="7ED019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WLWK-PLRO041 - Liczba jednostek służb ratowniczych doposażonych w sprzęt do prowadzenia akcji ratowniczych i usuwania skutków katastrof</w:t>
      </w:r>
    </w:p>
    <w:p w14:paraId="1066F2F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WLWK-PLRO178 - Liczba miast wspartych w zakresie adaptacji do zmian klimatu</w:t>
      </w:r>
    </w:p>
    <w:p w14:paraId="5884BC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773817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WLWK-PLRO175 - Liczba opracowanych ekspertyz, ocen, analiz, koncepcji, studiów</w:t>
      </w:r>
    </w:p>
    <w:p w14:paraId="3DE3F7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6D9767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64747D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WLWK-PLRO167 - Liczba wybudowanych, przebudowanych i wyremontowanych urządzeń wodnych (w tym obiektów kompleksowych)</w:t>
      </w:r>
    </w:p>
    <w:p w14:paraId="640EED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WLWK-PLRO042 - Liczba zakupionych wozów pożarniczych wyposażonych w sprzęt do prowadzenia akcji ratowniczych i usuwania skutków katastrof</w:t>
      </w:r>
    </w:p>
    <w:p w14:paraId="2BBFADE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WLWK-PLRO173 - Liczba zmodernizowanych/usuniętych barier migracyjnych</w:t>
      </w:r>
    </w:p>
    <w:p w14:paraId="737F64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WLWK-RCO025 - Nowo wybudowane lub wzmocnione środki ochrony przeciwpowodziowej wybrzeża morskiego oraz brzegów rzek i jezior</w:t>
      </w:r>
    </w:p>
    <w:p w14:paraId="793B12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6A388E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WLWK-PLRO044 - Pojemność obiektów małej retencji</w:t>
      </w:r>
    </w:p>
    <w:p w14:paraId="16C174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WLWK-RCO121 - Powierzchnia objęta środkami ochrony przed klęskami żywiołowymi związanymi z klimatem (oprócz powodzi i niekontrolowanych pożarów)</w:t>
      </w:r>
    </w:p>
    <w:p w14:paraId="16A295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WLWK-RCO028 - Powierzchnia objęta środkami ochrony przed niekontrolowanymi pożarami</w:t>
      </w:r>
    </w:p>
    <w:p w14:paraId="765313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WLWK-PLRO166 - Powierzchnia obszaru zagrożonego powodzią lub katastrofą urządzenia wodnego, która zostanie objęta ochroną w wyniku realizacji inwestycji</w:t>
      </w:r>
    </w:p>
    <w:p w14:paraId="6C3283D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WLWK-PLRO168 - Powierzchnia odtworzonych obszarów zalewowych</w:t>
      </w:r>
    </w:p>
    <w:p w14:paraId="68F97C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WLWK-PLRO174 - Powierzchnia zrekultywowanych jezior/sztucznych zbiorników</w:t>
      </w:r>
    </w:p>
    <w:p w14:paraId="462BB0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WLWK-PLRO177 - Wartość inwestycji w nowe/ przebudowane/ wyremontowane urządzenia wodne i infrastruktury towarzyszącej</w:t>
      </w:r>
    </w:p>
    <w:p w14:paraId="151CD7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WLWK-RCO026 - Zielona infrastruktura wybudowana lub zmodernizowana w celu przystosowania się do zmian klimatu</w:t>
      </w:r>
    </w:p>
    <w:p w14:paraId="0E96BE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823B4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1CD0FC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WLWK-RCR035 - Ludność odnosząca korzyści ze środków ochrony przeciwpowodziowej</w:t>
      </w:r>
    </w:p>
    <w:p w14:paraId="18681E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WLWK-RCR037 - Ludność odnosząca korzyści ze środków ochrony przed klęskami żywiołowymi związanymi z klimatem (oprócz powodzi lub niekontrolowanych pożarów)</w:t>
      </w:r>
    </w:p>
    <w:p w14:paraId="6D7906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WLWK-RCR036 - Ludność odnosząca korzyści ze środków ochrony przed niekontrolowanymi pożarami</w:t>
      </w:r>
    </w:p>
    <w:p w14:paraId="56F1D6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6C30733"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 w:name="_Toc237347955"/>
      <w:r>
        <w:rPr>
          <w:rFonts w:ascii="Calibri" w:hAnsi="Calibri" w:cs="Calibri"/>
          <w:sz w:val="32"/>
        </w:rPr>
        <w:t>Działanie FEMA.02.05 Gospodarka wodno-ściekowa</w:t>
      </w:r>
      <w:bookmarkEnd w:id="11"/>
    </w:p>
    <w:p w14:paraId="52F7F1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D08754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 - Wspieranie bezpiecznego dostępu do wody, zrównoważonej gospodarki wodnej obejmującej zintegrowane zarządzanie wodą, a także odporności wodnej</w:t>
      </w:r>
    </w:p>
    <w:p w14:paraId="1888D5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482CA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8B173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AB9DB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141 497 059,00</w:t>
      </w:r>
    </w:p>
    <w:p w14:paraId="171F62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A0287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103 035 000,00</w:t>
      </w:r>
    </w:p>
    <w:p w14:paraId="3E0901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A97B6C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062 - Dostarczanie wody do spożycia przez ludzi (infrastruktura do celów ujęcia, uzdatniania, magazynowania i dystrybucji, działania na rzecz efektywności, zaopatrzenie w wodę do spożycia), 063 - Dostarczanie wody do spożycia przez ludzi (infrastruktura do celów ujęcia, uzdatniania, magazynowania i dystrybucji, działania na rzecz efektywności, zaopatrzenie w wodę do spożycia) zgodne z kryteriami efektywności, 065 - Odprowadzanie i oczyszczanie ścieków, 066 - Odprowadzanie i oczyszczanie ścieków zgodne z kryteriami efektywności energetycznej</w:t>
      </w:r>
    </w:p>
    <w:p w14:paraId="294B89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1E59BA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Porządkowanie gospodarki wodno-kanalizacyjnej,</w:t>
      </w:r>
      <w:r>
        <w:br/>
        <w:t>2.</w:t>
      </w:r>
      <w:r>
        <w:tab/>
        <w:t xml:space="preserve">Zarządzanie efektywnymi, inteligentnymi sieciami wodociągowymi. </w:t>
      </w:r>
      <w:r>
        <w:br/>
        <w:t>W typie projektu Porządkowanie gospodarki wodno-kanalizacyjnej przewiduje się wsparcie dla następujących działań:</w:t>
      </w:r>
      <w:r>
        <w:br/>
        <w:t>•</w:t>
      </w:r>
      <w:r>
        <w:tab/>
        <w:t>budowa, przebudowa, modernizacja i rozbudowa oczyszczalni ścieków komunalnych oraz sieci kanalizacyjnej wraz z oddzielną kanalizacją deszczową,</w:t>
      </w:r>
      <w:r>
        <w:br/>
        <w:t>•</w:t>
      </w:r>
      <w:r>
        <w:tab/>
        <w:t>zapobieganie lub znaczne ograniczanie powstawania lub składowania osadów ściekowych i efektywne oraz zrównoważone ich zagospodarowanie,</w:t>
      </w:r>
      <w:r>
        <w:br/>
        <w:t>•</w:t>
      </w:r>
      <w:r>
        <w:tab/>
        <w:t>związanych z poprawą systemów zaopatrzenia, dystrybucją i magazynowaniem wody, budową nowych sieci wodociągowych, nowych stacji ujęć i uzdatniania wody,</w:t>
      </w:r>
      <w:r>
        <w:br/>
        <w:t>•</w:t>
      </w:r>
      <w:r>
        <w:tab/>
        <w:t xml:space="preserve">informacyjno-edukacyjnych z zakresu zagrożeń, jakie niesie za sobą niewłaściwe postępowanie z nieczystościami i zrzutem ścieków w miejscach do tego nieprzeznaczonych. Przekazywana wiedza będzie promowała w społeczeństwie ekologiczne postawy i prawidłowe zachowania dla stworzenia warunków do korzystania z infrastruktury i zasobów natury bez szkody dla środowiska (element uzupełniający projektu). </w:t>
      </w:r>
      <w:r>
        <w:br/>
        <w:t xml:space="preserve">W odniesieniu do przedsięwzięć wspieranych w ramach ww. działań zastosowanie będą mieć następujące zasady: </w:t>
      </w:r>
      <w:r>
        <w:br/>
        <w:t>1.</w:t>
      </w:r>
      <w:r>
        <w:tab/>
        <w:t xml:space="preserve">W zakresie projektów związanych z gospodarką ściekową wspierane będą inwestycje, dla których podstawą będą zalecenia wynikające z Dyrektywy Rady z dnia 21 maja 1991 r. dotyczącej oczyszczania ścieków komunalnych (tzw. Dyrektywy ściekowej). Dokumentem strategicznym spełniającym zobowiązania wynikające z Dyrektywy ściekowej jest Krajowy Program Oczyszczania Ścieków Komunalnych (KPOŚK).  Załącznik zaktualizowanego dokumentu KPOŚK odzwierciedla potrzeby inwestycyjne w wyznaczonych aglomeracjach. Aglomeracja i inwestycja powinny być ujęte w wykazie KPOŚK. W wyjątkowych sytuacjach, gdy dofinansowywane inwestycje nie wyczerpały alokacji z programu regionalnego, mogą być dofinansowywane również inwestycje nieujęte w KPOŚK, pod warunkiem, że aglomeracja jest ujęta w KPOŚK i zgodnie z najnowszym sprawozdaniem z realizacji KPOŚK nie spełnia wymogów dyrektywy ściekowej. Wsparciem zostanie objęty obszar całego województwa mazowieckiego, w aglomeracjach niespełniających wymogów ww. Dyrektywy, w przedziale 2-15 tys. RLM. Realizacja przedsięwzięć odbywać się będzie w dwóch priorytetach w następującej kolejności: </w:t>
      </w:r>
      <w:r>
        <w:br/>
      </w:r>
      <w:r>
        <w:lastRenderedPageBreak/>
        <w:t>•</w:t>
      </w:r>
      <w:r>
        <w:tab/>
        <w:t>priorytet 1 – aglomeracje w przedziale 10-15 tys. RLM, niespełniające wymogów dyrektywy,</w:t>
      </w:r>
      <w:r>
        <w:br/>
        <w:t>•</w:t>
      </w:r>
      <w:r>
        <w:tab/>
        <w:t>priorytet 2 – aglomeracje z przedziału 2-10 tys. RLM, niespełniające wymogów dyrektywy, pod warunkiem, że potrzeby z priorytetu 1 zostały zaspokojone.</w:t>
      </w:r>
      <w:r>
        <w:br/>
        <w:t>2.</w:t>
      </w:r>
      <w:r>
        <w:tab/>
        <w:t>Przesłanką do przystąpienia do realizacji konkursów w aglomeracjach z przedziału od co najmniej 2 tys. RLM do poniżej 10 tys. RLM jest zakontraktowanie inwestycji lub ich realizacja z innych środków w aglomeracjach z przedziału od co najmniej 10 tys. RLM do poniżej 15 tys. RLM – inwestycje te nie muszą być ukończone.</w:t>
      </w:r>
      <w:r>
        <w:br/>
        <w:t>3.</w:t>
      </w:r>
      <w:r>
        <w:tab/>
        <w:t>Działania związane z poprawą systemów zaopatrzenia, dystrybucji i magazynowania wody (budowa nowych sieci wodociągowych, nowych stacji ujęć i uzdatniania wody), będą mogły stanowić element uzupełniający projektów dotyczących gospodarki ściekowej oraz samodzielne projekty, gdy zapewniona zostanie gospodarka ściekowa zgodna z przepisami krajowymi i unijnymi na danym obszarze. W projektach wodno-kanalizacyjnych dofinansowanie na  infrastrukturę wodną będzie limitowana i będzie wynosić maksymalnie 25%.</w:t>
      </w:r>
      <w:r>
        <w:br/>
        <w:t>4.</w:t>
      </w:r>
      <w:r>
        <w:tab/>
        <w:t>Dofinansowanie uzyskają projekty z zakresu gospodarki wodno-ściekowej dotyczące aglomeracji ujętych w KPOŚK i posiadające obowiązującą uchwałę w sprawie wyznaczenia aglomeracji.</w:t>
      </w:r>
      <w:r>
        <w:br/>
        <w:t>5.</w:t>
      </w:r>
      <w:r>
        <w:tab/>
        <w:t>Jeżeli dofinansowanie dotyczy odprowadzania i oczyszczania ścieków zgodnie z kryteriami efektywności energetycznej, to celem działania jest zapewnienie zerowego zużycia energii netto w całym zbudowanym systemie odprowadzania ścieków lub, w przypadku remontu całego systemu odprowadzania ścieków, doprowadzenie do zmniejszenia średniego zużycia energii o co najmniej 10% (wyłącznie poprzez działania w zakresie efektywności energetycznej, a nie poprzez istotne zmiany lub zmiany w obciążeniu).</w:t>
      </w:r>
      <w:r>
        <w:br/>
        <w:t>6.</w:t>
      </w:r>
      <w:r>
        <w:tab/>
        <w:t>Spełnienie wymogów ustawodawstwa krajowego (Vi a KPOŚK, Rozporządzenie Ministra Gospodarki Morskiej i Żeglugi Śródlądowej z dnia 27 lipca 2018 r. w sprawie sposobu wyznaczania obszarów i granic aglomeracji. Wskaźnik koncentracji nie może być mniejszy od 120 stałych mieszkańców aglomeracji i osób czasowo przebywających w aglomeracji na 1 km planowanej do budowy sieci kanalizacyjnej (w uzasadnionych przypadkach określonych w rozporządzeniu aglomeracyjnym dopuszcza się niższy wskaźnik – 90 stałych mieszkańców aglomeracji i osób czasowo przebywających w aglomeracji / 1 km planowanej sieci). Wskaźnik ten odnosi się tylko do długości nowobudowanej sieci oraz liczby stałych mieszkańców aglomeracji i liczby osób czasowo przebywających w aglomeracji.</w:t>
      </w:r>
      <w:r>
        <w:br/>
        <w:t>7.</w:t>
      </w:r>
      <w:r>
        <w:tab/>
        <w:t>Inwestycje związane z osadami ściekowymi mogą stanowić element projektu i nie powinny stanowić większości kosztów danej alokacji.</w:t>
      </w:r>
      <w:r>
        <w:br/>
        <w:t>W typie projektu Zarządzanie efektywnymi, inteligentnymi sieciami wodociągowymi przewiduje się wsparcie następujących działań:</w:t>
      </w:r>
      <w:r>
        <w:br/>
        <w:t>•</w:t>
      </w:r>
      <w:r>
        <w:tab/>
        <w:t>dotyczących zwiększenia efektywności dostaw wody, zapewniających rozwój systemów ujęć, uzdatniania, zaopatrzenia, dystrybuowania i magazynowania wody,</w:t>
      </w:r>
      <w:r>
        <w:br/>
        <w:t>•</w:t>
      </w:r>
      <w:r>
        <w:tab/>
        <w:t>służących zrównoważonej gospodarce wodnej, eliminacji awaryjności sieci wodociągowej i strat wody z powodu wycieków, kradzieży i błędów opomiarowania, związanych z jak najbardziej efektywnym wykorzystywaniem zasobów wodnych, wprowadzaniem systemów monitorowania sieci wodociągowej, modernizacją systemów monitoringu jakości i ilości pobieranej oraz uzdatnianej wody,</w:t>
      </w:r>
      <w:r>
        <w:br/>
        <w:t>•</w:t>
      </w:r>
      <w:r>
        <w:tab/>
        <w:t xml:space="preserve">informacyjno-edukacyjnych z zakresu prawidłowego gospodarowania zasobami wodnymi i oszczędności wody Przekazywana wiedza będzie promowała w społeczeństwie ekologiczne postawy i prawidłowe zachowania dla stworzenia warunków do korzystania z infrastruktury i zasobów natury bez </w:t>
      </w:r>
      <w:r>
        <w:lastRenderedPageBreak/>
        <w:t>szkody dla środowiska (element uzupełniający projektu).</w:t>
      </w:r>
      <w:r>
        <w:br/>
        <w:t>W odniesieniu do przedsięwzięć wspieranych w ramach ww. działań zastosowanie mają następujące zasady:</w:t>
      </w:r>
      <w:r>
        <w:br/>
        <w:t>1.</w:t>
      </w:r>
      <w:r>
        <w:tab/>
        <w:t xml:space="preserve">W zakresie projektów związanych z gospodarką wodną realizowane będą przedsięwzięcia wpisujące się w priorytety i zalecenia wynikające z Dyrektywy Parlamentu Europejskiego i Rady 2020/2184 z dnia 16 grudnia 2020 r. w sprawie jakości wody przeznaczonej do spożycia przez ludzi. Dokumentem strategicznym, wdrażającym powyższą Dyrektywę i sprawdzającym stopień spełnienia wymogów jest Program Inwestycyjny w zakresie poprawy jakości i ograniczenia strat wody przeznaczonej do spożycia przez ludzi (PPJiOSW). Inwestycje muszą się mieścić w zdefiniowanych obszarach działań PPJiOSW. </w:t>
      </w:r>
      <w:r>
        <w:br/>
        <w:t>2.</w:t>
      </w:r>
      <w:r>
        <w:tab/>
        <w:t>Wsparcie uzyskają gminy o liczbie ludności poniżej 15 tys. mieszkańców.</w:t>
      </w:r>
      <w:r>
        <w:br/>
        <w:t>3.</w:t>
      </w:r>
      <w:r>
        <w:tab/>
        <w:t>Jeżeli dofinansowanie dotyczy dostarczania wody do spożycia przez ludzi (infrastruktura do celów ujęcia, uzdatniania, magazynowania i dystrybucji, działania na rzecz efektywności, zaopatrzenie w wodę do spożycia) zgodne z kryteriami efektywności to celem działania powinno być osiągnięcie średniego zużycia energii przez wybudowany system na poziomie &lt;= 0,5 kWh lub wskaźnika strat wody z infrastruktury (ILI) wynoszącego &lt;=1,5, a w przypadku działań renowacyjnych – zmniejszenie średniego zużycia energii o ponad 20% lub zmniejszenie strat wody o ponad 20%.</w:t>
      </w:r>
      <w:r>
        <w:br/>
        <w:t xml:space="preserve">Preferencje punktowe mogą być stosowane w projektach: </w:t>
      </w:r>
      <w:r>
        <w:br/>
        <w:t>•</w:t>
      </w:r>
      <w:r>
        <w:tab/>
        <w:t>skierowanych na obszary strategicznej interwencji (OSI) wyznaczone w KSRR i wynikające z SR WM 2030+, tj. miast średnich tracących funkcje społeczno-gospodarcze oraz gmin zagrożonych trwałą marginalizacją,</w:t>
      </w:r>
      <w:r>
        <w:br/>
        <w:t>•</w:t>
      </w:r>
      <w:r>
        <w:tab/>
        <w:t>realizowanych w ramach MSIT lub wynikające z GPR,</w:t>
      </w:r>
      <w:r>
        <w:br/>
        <w:t>•</w:t>
      </w:r>
      <w:r>
        <w:tab/>
        <w:t xml:space="preserve">uczestników i podmiotów zaangażowanych we współpracę międzyregionalną lub międzynarodową. </w:t>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p>
    <w:p w14:paraId="709063E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E565F4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291FB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55A622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85</w:t>
      </w:r>
    </w:p>
    <w:p w14:paraId="6774EA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B4320A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294888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E9BFF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21AD9D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C8B42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258F56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6F50D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1FC4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17C9BC3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146D5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57BD3A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7A7355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593CE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768B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8D6788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6DB78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CA663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realizujące cele publiczne, Służby publiczne</w:t>
      </w:r>
    </w:p>
    <w:p w14:paraId="76450B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1DFEF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aglomeracja, dostęp_do_wody, oczyszczalnia, sieć_kanalizacyjna, sieci_wodociagowe, stacja_uzdatniania_wody, woda, wody_gruntowe, zaopatrzenie_w_wodę, zużycie_wody</w:t>
      </w:r>
    </w:p>
    <w:p w14:paraId="16E1E7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37C66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67941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4D1677E" w14:textId="427B2E30"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14" w:history="1">
        <w:r w:rsidRPr="005B2474">
          <w:rPr>
            <w:rStyle w:val="Hipercze"/>
          </w:rPr>
          <w:t>https://funduszeuedlamazowsza.eu/uchwaly-km-fem/</w:t>
        </w:r>
      </w:hyperlink>
    </w:p>
    <w:p w14:paraId="207C30E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576BF4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WLWK-PLRO058 - Długość wybudowanej sieci kanalizacji deszczowej</w:t>
      </w:r>
    </w:p>
    <w:p w14:paraId="63A272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WLWK-PLRO047 - Długość wybudowanej sieci kanalizacyjnej</w:t>
      </w:r>
    </w:p>
    <w:p w14:paraId="6A02907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WLWK-PLRO045 - Długość wybudowanej sieci wodociągowej</w:t>
      </w:r>
    </w:p>
    <w:p w14:paraId="7F6C41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WLWK-PLRO059 - Długość zmodernizowanej sieci kanalizacji deszczowej</w:t>
      </w:r>
    </w:p>
    <w:p w14:paraId="7716CE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WLWK-PLRO048 - Długość zmodernizowanej sieci kanalizacyjnej</w:t>
      </w:r>
    </w:p>
    <w:p w14:paraId="40FE32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WLWK-PLRO046 - Długość zmodernizowanej sieci wodociągowej</w:t>
      </w:r>
    </w:p>
    <w:p w14:paraId="72F035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WLWK-PLRO056 - Liczba doposażonych stacji uzdatniania wody</w:t>
      </w:r>
    </w:p>
    <w:p w14:paraId="0448C93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WLWK-PLRO233 - Liczba przebudowanych / zmodernizowanych  ujęć wody</w:t>
      </w:r>
    </w:p>
    <w:p w14:paraId="775C8E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WLWK-PLRO055 - Liczba przebudowanych stacji uzdatniania wody</w:t>
      </w:r>
    </w:p>
    <w:p w14:paraId="34DBB1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6B30F1B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WLWK-PLRO052 - Liczba rozbudowanych / przebudowanych / zmodernizowanych oczyszczalni ścieków komunalnych</w:t>
      </w:r>
    </w:p>
    <w:p w14:paraId="4FB5CF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WLWK-PLRO234 - Liczba wdrożonych inteligentnych systemów zarządzania sieciami wodno-kanalizacyjnymi</w:t>
      </w:r>
    </w:p>
    <w:p w14:paraId="0CEBE8F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WLWK-PLRO051 - Liczba wybudowanych oczyszczalni ścieków komunalnych</w:t>
      </w:r>
    </w:p>
    <w:p w14:paraId="51547D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WLWK-PLRO054 - Liczba wybudowanych stacji uzdatniania wody</w:t>
      </w:r>
    </w:p>
    <w:p w14:paraId="3159E6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WLWK-PLRO232 - Liczba wybudowanych ujęć wody</w:t>
      </w:r>
    </w:p>
    <w:p w14:paraId="60DB39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WLWK-RCO032 - Wydajność nowo wybudowanych lub zmodernizowanych instalacji oczyszczania ścieków</w:t>
      </w:r>
    </w:p>
    <w:p w14:paraId="554BB0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3B509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WLWK-PLRR039 - Ilość suchej masy komunalnych osadów ściekowych poddawanych procesom przetwarzania</w:t>
      </w:r>
    </w:p>
    <w:p w14:paraId="633A38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WLWK-PLRR038 - Ludność podłączona do wybudowanej lub zmodernizowanej zbiorczej kanalizacji sanitarnej</w:t>
      </w:r>
    </w:p>
    <w:p w14:paraId="4B8B38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WLWK-RCR041 - Ludność przyłączona do udoskonalonych zbiorowych systemów zaopatrzenia w wodę</w:t>
      </w:r>
    </w:p>
    <w:p w14:paraId="370CDC0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WLWK-RCR042 - Ludność przyłączona do zbiorowych systemów oczyszczania ścieków co najmniej II stopnia</w:t>
      </w:r>
    </w:p>
    <w:p w14:paraId="03615D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WLWK-RCR043 - Straty wody w zbiorowych systemach zaopatrzenia w wodę</w:t>
      </w:r>
    </w:p>
    <w:p w14:paraId="493E35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WLWK-PLRR018 - Wielkość ładunku ścieków poddanych ulepszonemu oczyszczaniu</w:t>
      </w:r>
    </w:p>
    <w:p w14:paraId="729DBE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8B29A30"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2" w:name="_Toc237347956"/>
      <w:r>
        <w:rPr>
          <w:rFonts w:ascii="Calibri" w:hAnsi="Calibri" w:cs="Calibri"/>
          <w:sz w:val="32"/>
        </w:rPr>
        <w:lastRenderedPageBreak/>
        <w:t>Działanie FEMA.02.06 Gospodarka o obiegu zamkniętym</w:t>
      </w:r>
      <w:bookmarkEnd w:id="12"/>
    </w:p>
    <w:p w14:paraId="66D1E24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CE38D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 - Wspieranie transformacji w kierunku gospodarki o obiegu zamkniętym i gospodarki zasobooszczędnej</w:t>
      </w:r>
    </w:p>
    <w:p w14:paraId="60A5EB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85ADC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0DCC9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1377D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48 739 472,00</w:t>
      </w:r>
    </w:p>
    <w:p w14:paraId="68D33C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AC7B0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35 438 426,00</w:t>
      </w:r>
    </w:p>
    <w:p w14:paraId="29DACED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A3E9D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067 - Gospodarowanie odpadami z gospodarstw domowych: działania w zakresie zapobiegania powstawaniu odpadów, ich minimalizacji, segregacji, ponownego użycia, recyklingu, 069 - Gospodarowanie odpadami przemysłowymi i handlowymi: działania w zakresie zapobiegania powstawaniu odpadów, ich minimalizacji, segregacji, ponownego użycia, recyklingu, 070 - Gospodarowanie odpadami przemysłowymi i handlowymi: odpady resztkowe i niebezpieczne, 072 - Wykorzystanie materiałów pochodzących z recyklingu jako surowców zgodnie z kryteriami efektywności, 075 - Wsparcie ekologicznych procesów produkcyjnych oraz efektywnego wykorzystywania zasobów w MŚP</w:t>
      </w:r>
    </w:p>
    <w:p w14:paraId="5F2167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F95E9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Gospodarka odpadami zgodnie z hierarchią postępowania z odpadami,</w:t>
      </w:r>
      <w:r>
        <w:br/>
        <w:t>2.</w:t>
      </w:r>
      <w:r>
        <w:tab/>
        <w:t>Transformacja przedsiębiorstw w kierunku GOZ,</w:t>
      </w:r>
      <w:r>
        <w:br/>
        <w:t>3.</w:t>
      </w:r>
      <w:r>
        <w:tab/>
        <w:t>Zagospodarowanie odpadów niebezpiecznych.</w:t>
      </w:r>
      <w:r>
        <w:br/>
        <w:t>W typie projektu Gospodarka odpadami komunalnymi zgodnie z hierarchią postępowania z odpadami przewiduje się wsparcie dla następujących działań:</w:t>
      </w:r>
      <w:r>
        <w:br/>
        <w:t>1. Dotyczących budowy, rozbudowy, modernizacji:</w:t>
      </w:r>
      <w:r>
        <w:br/>
        <w:t>•</w:t>
      </w:r>
      <w:r>
        <w:tab/>
        <w:t>instalacji do recyklingu, w tym recyklingu organicznego, instalacji do odzysku, sortowni, kompostowni, instalacji MBP (mechaniczno-biologicznego przetwarzania), doczyszczających odpady selektywnie zebrane, instalacji do przetwarzania odpadów zielonych, bioodpadów, odpadów opakowaniowych;</w:t>
      </w:r>
      <w:r>
        <w:br/>
        <w:t>•</w:t>
      </w:r>
      <w:r>
        <w:tab/>
        <w:t>Punktów Selektywnej Zbiórki Odpadów (PSZOK): działania usprawniające dostęp do PSZOK, rozbudowa/modernizacja o punkty napraw, punkty ponownego użycia, ogródki kompostownikowe, działania przeciwdziałające marnotrawieniu żywności itp.;</w:t>
      </w:r>
      <w:r>
        <w:br/>
        <w:t>2.</w:t>
      </w:r>
      <w:r>
        <w:tab/>
        <w:t xml:space="preserve">Zgodnych z hierarchią postępowania z odpadami, zmierzających do zapobiegania powstawania </w:t>
      </w:r>
      <w:r>
        <w:lastRenderedPageBreak/>
        <w:t>odpadów i służących transformacji w kierunku GOZ;</w:t>
      </w:r>
      <w:r>
        <w:br/>
        <w:t>3.</w:t>
      </w:r>
      <w:r>
        <w:tab/>
        <w:t>Inwestycji związanych z:</w:t>
      </w:r>
      <w:r>
        <w:br/>
        <w:t>•</w:t>
      </w:r>
      <w:r>
        <w:tab/>
        <w:t>powtórnym wykorzystaniem odpadów (w tym osadów ściekowych),</w:t>
      </w:r>
      <w:r>
        <w:br/>
        <w:t>•</w:t>
      </w:r>
      <w:r>
        <w:tab/>
        <w:t>monitoringiem i kontrolą procesu segregacji oraz odbioru odpadów u źródła,</w:t>
      </w:r>
      <w:r>
        <w:br/>
        <w:t>•</w:t>
      </w:r>
      <w:r>
        <w:tab/>
        <w:t>otwarciem rynków zbytu dla surowców wtórnych i produktów używanych,</w:t>
      </w:r>
      <w:r>
        <w:br/>
        <w:t>•</w:t>
      </w:r>
      <w:r>
        <w:tab/>
        <w:t>skutecznym zarządzaniem odpadem jako zasobem,</w:t>
      </w:r>
      <w:r>
        <w:br/>
        <w:t>•</w:t>
      </w:r>
      <w:r>
        <w:tab/>
        <w:t>tworzeniem instrumentów służących selektywnej zbiórce odpadów w miejscu ich wytworzenia,</w:t>
      </w:r>
      <w:r>
        <w:br/>
        <w:t>•</w:t>
      </w:r>
      <w:r>
        <w:tab/>
        <w:t>systemami indywidualnej segregacji odpadów np. w zabudowie wielorodzinnej,</w:t>
      </w:r>
      <w:r>
        <w:br/>
        <w:t>•</w:t>
      </w:r>
      <w:r>
        <w:tab/>
        <w:t>infrastrukturą związaną z systemem kaucyjnym, recyklomaty,</w:t>
      </w:r>
      <w:r>
        <w:br/>
        <w:t>•</w:t>
      </w:r>
      <w:r>
        <w:tab/>
        <w:t>zwiększeniem potencjału poziomu recyklingu i odzysku;</w:t>
      </w:r>
      <w:r>
        <w:br/>
        <w:t>4.</w:t>
      </w:r>
      <w:r>
        <w:tab/>
        <w:t>Informacyjno-edukacyjnych z zakresu prawidłowego postępowania z odpadami, odpowiedzialnego ich wytwarzania, zapobiegania powstawaniu odpadów, recyklingu i odzysku, akcje informacyjno-promocyjne samorządów różnych szczebli, mające wpływ na zmianę świadomości mieszkańców Mazowsza (element uzupełniający projektu infrastrukturalnego).</w:t>
      </w:r>
      <w:r>
        <w:br/>
        <w:t xml:space="preserve">W odniesieniu do przedsięwzięć wspieranych w ramach ww. działań zastosowanie będą mieć następujące zasady: </w:t>
      </w:r>
      <w:r>
        <w:br/>
        <w:t>1. Finansowane będą działania ujęte w Planie Inwestycyjnym Planu gospodarki odpadami dla województwa mazowieckiego 2030 dotyczące budowy, rozbudowy, modernizacji:</w:t>
      </w:r>
      <w:r>
        <w:br/>
        <w:t>•</w:t>
      </w:r>
      <w:r>
        <w:tab/>
        <w:t>PSZOK,</w:t>
      </w:r>
      <w:r>
        <w:br/>
        <w:t>•</w:t>
      </w:r>
      <w:r>
        <w:tab/>
        <w:t>sortowni,</w:t>
      </w:r>
      <w:r>
        <w:br/>
        <w:t>•</w:t>
      </w:r>
      <w:r>
        <w:tab/>
        <w:t>kompostowni,</w:t>
      </w:r>
      <w:r>
        <w:br/>
        <w:t>•</w:t>
      </w:r>
      <w:r>
        <w:tab/>
        <w:t>instalacji do mechaniczno-biologicznego przetwarzania (MBP)</w:t>
      </w:r>
      <w:r>
        <w:br/>
        <w:t>•</w:t>
      </w:r>
      <w:r>
        <w:tab/>
        <w:t>instalacji doczyszczających,</w:t>
      </w:r>
      <w:r>
        <w:br/>
        <w:t>•</w:t>
      </w:r>
      <w:r>
        <w:tab/>
        <w:t>instalacji do odzysku i recyklingu odpadów,</w:t>
      </w:r>
      <w:r>
        <w:br/>
        <w:t>•</w:t>
      </w:r>
      <w:r>
        <w:tab/>
        <w:t>innych instalacji i infrastruktury do przetwarzania odpadów i zapobiegania powstawaniu odpadów.</w:t>
      </w:r>
      <w:r>
        <w:br/>
        <w:t>2.</w:t>
      </w:r>
      <w:r>
        <w:tab/>
        <w:t>Instalacje doczyszczające do przetwarzania odpadów będą miały na celu:</w:t>
      </w:r>
      <w:r>
        <w:br/>
        <w:t>•</w:t>
      </w:r>
      <w:r>
        <w:tab/>
        <w:t>zwiększenie stopnia odzysku surowców dobrej jakości,</w:t>
      </w:r>
      <w:r>
        <w:br/>
        <w:t>•</w:t>
      </w:r>
      <w:r>
        <w:tab/>
        <w:t>wykorzystanie potencjału już funkcjonujących instalacji,</w:t>
      </w:r>
      <w:r>
        <w:br/>
        <w:t>•</w:t>
      </w:r>
      <w:r>
        <w:tab/>
        <w:t xml:space="preserve">usprawnianie funkcjonowania instalacji, </w:t>
      </w:r>
      <w:r>
        <w:br/>
        <w:t>•</w:t>
      </w:r>
      <w:r>
        <w:tab/>
        <w:t>unowocześnianie wykorzystywanych technologii.</w:t>
      </w:r>
      <w:r>
        <w:br/>
        <w:t>Instalacje doczyszczające do przetwarzania odpadów będą dopuszczone w ograniczonym zakresie i pod warunkiem wykazania wzrostu odzysku surowców oraz zapewnienia wysokiej jakości produktu na końcu procesu.</w:t>
      </w:r>
      <w:r>
        <w:br/>
        <w:t>Dofinansowane inwestycje pozwolą instalacjom MBP wykorzystać swój potencjał i poprawić jakość:</w:t>
      </w:r>
      <w:r>
        <w:br/>
        <w:t>•</w:t>
      </w:r>
      <w:r>
        <w:tab/>
        <w:t>doczyszczania odpadów selektywnie zebranych, w celu zwiększenia odzysku surowcowego i poziomów recyklingu,</w:t>
      </w:r>
      <w:r>
        <w:br/>
        <w:t>•</w:t>
      </w:r>
      <w:r>
        <w:tab/>
        <w:t>przetwarzania odpadów zielonych i bioodpadów.</w:t>
      </w:r>
      <w:r>
        <w:br/>
        <w:t>3.</w:t>
      </w:r>
      <w:r>
        <w:tab/>
        <w:t>W zakresie inwestycji w obszarze modernizacji MBP obowiązuje ograniczenie do 25% alokacji CS 2(vi). Warunek będzie monitorowany na etapie wdrażania FEM 2021-2027.</w:t>
      </w:r>
      <w:r>
        <w:br/>
        <w:t>4. Wsparcie w zakresie instalacji dotyczy inwestycji o wartości kosztów kwalifikowalnych nie większych niż 12 mln PLN.</w:t>
      </w:r>
      <w:r>
        <w:br/>
      </w:r>
      <w:r>
        <w:lastRenderedPageBreak/>
        <w:t>5. Koszt kwalifikowalny projektu, który swoim zakresem łączy różne inwestycje w zakresie gospodarki odpadami komunalnymi, maksymalnie może wynieść 12 mln PLN.</w:t>
      </w:r>
      <w:r>
        <w:br/>
        <w:t>6. Inwestycje w Punkty Selektywnej Zbiórki Odpadów, dotyczą PSZOK-ów obsługujących nie więcej niż 20 tys. mieszkańców lub o wartości kosztów kwalifikowanych nie większych niż 2 mln PLN.</w:t>
      </w:r>
      <w:r>
        <w:br/>
        <w:t>7. Wykorzystanie materiałów pochodzących z recyklingu jako surowców, jest zgodne z kryteriami efektywności, jeśli celem działania jest przekształcenie w surowce wtórne co najmniej 50% masy przetworzonych oddzielnie zebranych odpadów innych niż niebezpieczne.</w:t>
      </w:r>
      <w:r>
        <w:br/>
        <w:t>W typie projektu Transformacja przedsiębiorstw w kierunku GOZ przewiduje się wsparcie dla następujących działań:</w:t>
      </w:r>
      <w:r>
        <w:br/>
        <w:t>•</w:t>
      </w:r>
      <w:r>
        <w:tab/>
        <w:t>etap</w:t>
      </w:r>
      <w:r>
        <w:tab/>
        <w:t>przygotowawczy (przedinwestycyjny): prace koncepcyjne, eko-projektowanie produktów i niezbędne zmiany w procesach produkcyjnych/usługowych, profesjonalne wsparcie doradczo-szkoleniowe, audyty środowiskowe, analizy techniczno-ekonomiczne (wsparcie techniczne i edukacja zachęcające przedsiębiorców do przejścia na model GOZ),</w:t>
      </w:r>
      <w:r>
        <w:br/>
        <w:t>•</w:t>
      </w:r>
      <w:r>
        <w:tab/>
        <w:t>etap wdrożeniowy (inwestycyjny): wprowadzenie zmian w procesach technologicznych w przypadku potwierdzenia efektywności planowanych działań ograniczających zużycie zasobów w całym cyklu życia produktów i wpływających pozytywnie i zasobooszczędnie na środowisko (technologie przyjazne środowisku, związane z wtórnym wykorzystaniem odpadów i produktów ubocznych, eliminowaniem tworzyw sztucznych, zamykaniem obiegu, przechodzeniem z modelu liniowego na cyrkularny).</w:t>
      </w:r>
      <w:r>
        <w:br/>
        <w:t>W odniesieniu do przedsięwzięć wspieranych w ramach ww. działań zastosowanie będą mieć następujące zasady:</w:t>
      </w:r>
      <w:r>
        <w:br/>
        <w:t>1. Wsparcie dotyczy projektów wdrażających technologie i niemających charakteru badawczo-rozwojowego, o wartości  kosztów kwalifikowalnych nie większych niż 8 mln PLN.</w:t>
      </w:r>
      <w:r>
        <w:br/>
        <w:t xml:space="preserve">2. Wsparcie dedykowane jest projektom trudnym, złożonym, obarczonym wysokim ryzykiem i dłuższym okresem zwrotu z inwestycji. </w:t>
      </w:r>
      <w:r>
        <w:br/>
        <w:t>W typie projektu: Zagospodarowanie odpadów niebezpiecznych przewiduje się wsparcie budowy instalacji do termicznego zagospodarowywania i  unieszkodliwiania odpadów niebezpiecznych (medycznych i weterynaryjnych).</w:t>
      </w:r>
      <w:r>
        <w:br/>
        <w:t>Zastosowanie będą mieć następujące zasady:</w:t>
      </w:r>
      <w:r>
        <w:br/>
        <w:t>•</w:t>
      </w:r>
      <w:r>
        <w:tab/>
        <w:t xml:space="preserve">Warunkiem wsparcia będzie przedłożona analiza ekonomiczna </w:t>
      </w:r>
      <w:r>
        <w:br/>
        <w:t>i porównawcza wszystkich możliwych opcji, uzasadniająca potrzeby i uwzględniająca koszty utrzymania, amortyzacji i kosztów alternatywnych;</w:t>
      </w:r>
      <w:r>
        <w:br/>
        <w:t>•</w:t>
      </w:r>
      <w:r>
        <w:tab/>
        <w:t>Wzrost wydajności spalarni gwarantujący pokrycie zapotrzebowania również w razie nagłego wzrostu masy odpadów niebezpiecznych (medycznych, weterynaryjnych).</w:t>
      </w:r>
      <w:r>
        <w:br/>
        <w:t>Ogólne warunki realizacji projektów:</w:t>
      </w:r>
      <w:r>
        <w:br/>
        <w:t xml:space="preserve">Konieczne jest podjęcie działań  zmierzających do ochrony środowiska, związanych z minimalizacją odpadów. Wsparcie będzie zgodne ze sposobem gospodarowania odpadami oraz kluczowymi inwestycjami wynikającymi z dokumentów strategicznych,  KPGO, PGO WM oraz w zakresie osiągnięcia celów ujętych w tzw. ramowej dyrektywie o odpadach (Dyrektywa Parlamentu Europejskiego i Rady 2008/98/WE z dnia 19 listopada 2008 r. w sprawie odpadów oraz uchylająca niektóre dyrektywy, Dz. U.UE L 312 z dnia 22 listopada 2008 r.) oraz tzw. dyrektywie składowiskowej (Dyrektywa Rady 1999/31/WE z dnia 26 kwietnia 1999 r. w sprawie składowania odpadów). </w:t>
      </w:r>
      <w:r>
        <w:br/>
      </w:r>
      <w:r>
        <w:lastRenderedPageBreak/>
        <w:t xml:space="preserve">Preferencje punktowe mogą być stosowane w projektach: </w:t>
      </w:r>
      <w:r>
        <w:br/>
        <w:t>•</w:t>
      </w:r>
      <w:r>
        <w:tab/>
        <w:t>skierowanych na obszary strategicznej interwencji (OSI) wyznaczone w KSRR i wynikające z SR WM 2030+, tj. miast średnich tracących funkcje społeczno-gospodarcze oraz gmin zagrożonych trwałą marginalizacją,</w:t>
      </w:r>
      <w:r>
        <w:br/>
        <w:t>•</w:t>
      </w:r>
      <w:r>
        <w:tab/>
        <w:t>realizowanych w ramach MSIT lub wynikające z GPR,</w:t>
      </w:r>
      <w:r>
        <w:br/>
        <w:t>•</w:t>
      </w:r>
      <w:r>
        <w:tab/>
        <w:t xml:space="preserve">uczestników i podmiotów zaangażowanych we współpracę międzyregionalną lub międzynarodową. </w:t>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p>
    <w:p w14:paraId="5527AD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E441AD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5C79EB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62104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BB9BF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FE5A67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Decyzja Komisji (UE)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 (C/2025/8820),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14:paraId="582FB8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9B504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12 lipca 2023 r. w sprawie udzielania mikroprzedsiębiorcom, małym lub średnim przedsiębiorcom pomocy na usługi doradcze oraz na udział w targach w ramach regionalnych programów na lata 2021–2027 (Dz.U. 2023 poz. 1399), Rozporządzenie Ministra Funduszy i Polityki 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707954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9A985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7785F60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93C50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9E9E0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C5279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31E4C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C602AA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0526A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4BCF1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4F8BE8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56E988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EDE32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D3BD9A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Organizacje społeczne i związki wyznaniowe, Przedsiębiorstwa, Przedsiębiorstwa realizujące cele publiczne, Służby publiczne</w:t>
      </w:r>
    </w:p>
    <w:p w14:paraId="2C1AED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00814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cykl_życia_produktu, gospodarka_o_obiegu_zamkniętym, kompostowanie, odpady_niebezpieczne, oszczędność_zasobów, ponowne_użycie, punkt_selektywnej_zbiórki_odpadów_komunalnych, recykling, selektywna_zbiórka</w:t>
      </w:r>
    </w:p>
    <w:p w14:paraId="70FB18F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6BF9263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503C53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356DFCEE" w14:textId="6A5C73B4"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15" w:history="1">
        <w:r w:rsidRPr="005B2474">
          <w:rPr>
            <w:rStyle w:val="Hipercze"/>
          </w:rPr>
          <w:t>https://funduszeuedlamazowsza.eu/uchwaly-km-fem/</w:t>
        </w:r>
      </w:hyperlink>
    </w:p>
    <w:p w14:paraId="578CF3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575BCA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WLWK-RCO034 - Dodatkowe zdolności w zakresie recyklingu odpadów</w:t>
      </w:r>
    </w:p>
    <w:p w14:paraId="20D36D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WLWK-RCO107 - Inwestycje w obiekty do selektywnego zbierania odpadów</w:t>
      </w:r>
    </w:p>
    <w:p w14:paraId="6A26F8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WLWK-PLRO064 - Liczba doposażonych zakładów zagospodarowania odpadów</w:t>
      </w:r>
    </w:p>
    <w:p w14:paraId="740EBF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74DD8A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7220B5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WLWK-PLRO063 - Liczba przebudowanych zakładów zagospodarowania odpadów</w:t>
      </w:r>
    </w:p>
    <w:p w14:paraId="6BD824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5E0911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1CE9E4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WLWK-PLRO228 - Liczba przeprowadzonych kampanii informacyjno-edukacyjnych w zakresie gospodarki o obiegu zamkniętym </w:t>
      </w:r>
    </w:p>
    <w:p w14:paraId="53E1BD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WLWK-PLRO180 - Liczba utworzonych Punktów Napraw i Ponownego Użycia</w:t>
      </w:r>
    </w:p>
    <w:p w14:paraId="162CC6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4ECBF1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WLWK-PLRO181 - Liczba wspartych instalacji termicznego przekształcania odpadów</w:t>
      </w:r>
    </w:p>
    <w:p w14:paraId="00EEBA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WLWK-PLRO179 - Liczba wspartych instalacji w zakresie ograniczania ilości odpadów powstających w procesach produkcyjnych</w:t>
      </w:r>
    </w:p>
    <w:p w14:paraId="618265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WLWK-PLRO182 - Liczba wspartych inwestycji w zakresie zagospodarowania odpadów w procesach innych niż recykling</w:t>
      </w:r>
    </w:p>
    <w:p w14:paraId="627DD8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10E06C6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CAC52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WLWK-PLRO235 - Liczba wspartych przedsięwzięć w zakresie ograniczenia zużycia wody w procesach technologicznych</w:t>
      </w:r>
    </w:p>
    <w:p w14:paraId="49EB04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WLWK-PLRO060 - Liczba wspartych punktów selektywnego zbierania odpadów komunalnych (PSZOK)</w:t>
      </w:r>
    </w:p>
    <w:p w14:paraId="580BAE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531F21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WLWK-PLRO062 - Liczba wybudowanych zakładów zagospodarowania odpadów</w:t>
      </w:r>
    </w:p>
    <w:p w14:paraId="6C5B9D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WLWK-PLRO067 - Masa unieszkodliwionych odpadów niebezpiecznych</w:t>
      </w:r>
    </w:p>
    <w:p w14:paraId="11C929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WLWK-PLRO065 - Masa wycofanych z użytkowania i unieszkodliwionych wyrobów medycznych</w:t>
      </w:r>
    </w:p>
    <w:p w14:paraId="6D5013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33FAD7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WLWK-RCO119 - Odpady przygotowane do ponownego użycia</w:t>
      </w:r>
    </w:p>
    <w:p w14:paraId="393A20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0609F8F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7A041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WLWK-PLRR020 - Ilość zredukowanych odpadów będących pozostałością w procesie produkcyjnym przedsiębiorstwa</w:t>
      </w:r>
    </w:p>
    <w:p w14:paraId="6A0CA9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WLWK-PLRR066 - Liczba osób, do których zostały skierowane kampanie informacyjno-edukacyjne w zakresie gospodarki o obiegu zamkniętym </w:t>
      </w:r>
    </w:p>
    <w:p w14:paraId="02DC40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WLWK-PLRR019 - Liczba osób objętych selektywnym zbieraniem odpadów komunalnych</w:t>
      </w:r>
    </w:p>
    <w:p w14:paraId="56AAD1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WLWK-PLRR067 - Liczba osób objętych systemem zagospodarowania odpadów</w:t>
      </w:r>
    </w:p>
    <w:p w14:paraId="722922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2F0BE2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WLWK-PLRR041 - Masa odpadów zagospodarowana w procesach innych niż recykling</w:t>
      </w:r>
    </w:p>
    <w:p w14:paraId="75FE29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WLWK-PLRR040 - Masa przedmiotów przekazanych do Punktów Napraw i Ponownego Użycia</w:t>
      </w:r>
    </w:p>
    <w:p w14:paraId="328A6F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WLWK-PLRR068 - Moc przerobowa zakładu zagospodarowania odpadów</w:t>
      </w:r>
    </w:p>
    <w:p w14:paraId="03D46E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WLWK-RCR005 - MŚP wprowadzające innowacje wewnątrz przedsiębiorstwa</w:t>
      </w:r>
    </w:p>
    <w:p w14:paraId="0799E7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WLWK-RCR017 - Nowe przedsiębiorstwa utrzymujące się na rynku</w:t>
      </w:r>
    </w:p>
    <w:p w14:paraId="3645C4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WLWK-RCR047 - Odpady poddane recyklingowi</w:t>
      </w:r>
    </w:p>
    <w:p w14:paraId="2D8D236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WLWK-RCR048 - Odpady wykorzystywane jako surowce</w:t>
      </w:r>
    </w:p>
    <w:p w14:paraId="1A92DF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WLWK-RCR103 - Odpady zbierane selektywnie</w:t>
      </w:r>
    </w:p>
    <w:p w14:paraId="0FA5A7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WLWK-PLRR069 - Ograniczenie zużycia wody w procesach technologicznych</w:t>
      </w:r>
    </w:p>
    <w:p w14:paraId="610FCF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WLWK-RCR007 - Wnioski w zakresie znaków towarowych oraz wzorów</w:t>
      </w:r>
    </w:p>
    <w:p w14:paraId="369540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WLWK-RCR006 - Złożone wnioski patentowe</w:t>
      </w:r>
    </w:p>
    <w:p w14:paraId="16DDCEB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64EFA1F"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 w:name="_Toc237347957"/>
      <w:r>
        <w:rPr>
          <w:rFonts w:ascii="Calibri" w:hAnsi="Calibri" w:cs="Calibri"/>
          <w:sz w:val="32"/>
        </w:rPr>
        <w:t>Działanie FEMA.02.07 Bioróżnorodność</w:t>
      </w:r>
      <w:bookmarkEnd w:id="13"/>
    </w:p>
    <w:p w14:paraId="2EDE5C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38950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 - Wzmacnianie ochrony i zachowania przyrody, różnorodności biologicznej oraz zielonej infrastruktury, w tym na obszarach miejskich, oraz ograniczanie wszelkich rodzajów zanieczyszczenia</w:t>
      </w:r>
    </w:p>
    <w:p w14:paraId="65EA77E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6F061F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8F42C4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A5356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29 282 353,00</w:t>
      </w:r>
    </w:p>
    <w:p w14:paraId="5A1B8A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DA996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20 760 000,00</w:t>
      </w:r>
    </w:p>
    <w:p w14:paraId="1E0EABA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3DC05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073 - Rewaloryzacja obszarów przemysłowych i rekultywacja skażonych gruntów, 074 - Rewaloryzacja obszarów przemysłowych i rekultywacja skażonych gruntów zgodnie z kryteriami efektywności, 078 - Ochrona, regeneracja i zrównoważone wykorzystanie obszarów Natura 2000, 079 - Ochrona przyrody i różnorodności biologicznej, dziedzictwo naturalne i zasoby naturalne, zielona i niebieska infrastruktura</w:t>
      </w:r>
    </w:p>
    <w:p w14:paraId="1AC066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21893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Aktualizacja planów ochrony parków krajobrazowych,</w:t>
      </w:r>
      <w:r>
        <w:br/>
        <w:t>2.</w:t>
      </w:r>
      <w:r>
        <w:tab/>
        <w:t>Ochrona różnorodności biologicznej poprzez realizację planów ochrony parków krajobrazowych,</w:t>
      </w:r>
      <w:r>
        <w:br/>
        <w:t>3.</w:t>
      </w:r>
      <w:r>
        <w:tab/>
        <w:t>Tworzenie Centrów Ochrony Bioróżnorodności i Edukacji Ekologicznej w Parkach Krajobrazowych,</w:t>
      </w:r>
      <w:r>
        <w:br/>
        <w:t>4.</w:t>
      </w:r>
      <w:r>
        <w:tab/>
        <w:t>Ochrona różnorodności biologicznej i rodzimych gatunków roślinnych i zwierzęcych na terenach miejskich i pozamiejskich,</w:t>
      </w:r>
      <w:r>
        <w:br/>
        <w:t>5.</w:t>
      </w:r>
      <w:r>
        <w:tab/>
        <w:t>Usuwanie miejsc nielegalnego nagromadzenia odpadów.</w:t>
      </w:r>
      <w:r>
        <w:br/>
      </w:r>
      <w:r>
        <w:br/>
        <w:t xml:space="preserve">W typie projektu Aktualizacja planów ochrony parków krajobrazowych przewiduje się wsparcie dla działań prowadzących do sporządzenia zaktualizowanego dokumentu. Aktualizacja dokumentu poprzedzona będzie opracowaniem stanu i koncepcji ochrony zasobów, wskazaniem zadań ochronnych, ich zakresu i lokalizacji. Zakres prac będzie obejmował również zebranie niezbędnego materiału i opracowań oraz wykonanie szeregu ekspertyz związanych z inwentaryzacją zasobów. Dokonanie identyfikacji zagrożeń i zagadnień problemowych, scharakteryzowanie oceny uwarunkowań społecznych i gospodarczych, a także analiza skuteczności dotychczasowych sposobów ochrony, to działania niezbędne do przygotowania aktualizacji planów. </w:t>
      </w:r>
      <w:r>
        <w:br/>
      </w:r>
      <w:r>
        <w:br/>
        <w:t>W typie projektu Ochrona różnorodności biologicznej poprzez realizację planów ochrony parków krajobrazowych przewiduje się wsparcie dla następujących działań:</w:t>
      </w:r>
      <w:r>
        <w:br/>
        <w:t>1.</w:t>
      </w:r>
      <w:r>
        <w:tab/>
        <w:t>ochrona zasobów przyrodniczych, wybranych gatunków i siedlisk, przede wszystkim w parkach krajobrazowych i ich otulinach, w rezerwatach przyrody, na obszarach Natura 2000 oraz innych formach ochrony przyrody (np.: obszary chronionego krajobrazu, zespoły przyrodniczo-krajobrazowe, użytki ekologiczne, stanowiska dokumentacyjne)</w:t>
      </w:r>
      <w:r>
        <w:br/>
        <w:t>2.</w:t>
      </w:r>
      <w:r>
        <w:tab/>
        <w:t xml:space="preserve">zawartych w planach zadań ochronnych </w:t>
      </w:r>
      <w:r>
        <w:br/>
        <w:t>3.</w:t>
      </w:r>
      <w:r>
        <w:tab/>
        <w:t xml:space="preserve">tworzenia centrów bioróżnorodności i edukacji ekologicznej </w:t>
      </w:r>
      <w:r>
        <w:br/>
        <w:t>4.</w:t>
      </w:r>
      <w:r>
        <w:tab/>
        <w:t>zabiegów ochrony czynnej siedlisk przyrodniczych i gatunków objętych ochroną oraz inwentaryzację i monitoring obszarów chronionych, w celu zachowania i zwiększenia różnorodności biologicznej</w:t>
      </w:r>
      <w:r>
        <w:br/>
        <w:t>5.</w:t>
      </w:r>
      <w:r>
        <w:tab/>
        <w:t>odtwarzanie ekosystemów, w tym ekosystemów podmokłych, siedlisk wodnych (mokradła, torfowiska, łęgi, moczary, łąki i pastwiska)</w:t>
      </w:r>
      <w:r>
        <w:br/>
        <w:t>6.</w:t>
      </w:r>
      <w:r>
        <w:tab/>
        <w:t>udostępnianie parków dla celów rekreacyjnych, edukacyjnych i wypoczynkowych</w:t>
      </w:r>
      <w:r>
        <w:br/>
      </w:r>
      <w:r>
        <w:lastRenderedPageBreak/>
        <w:t>7.</w:t>
      </w:r>
      <w:r>
        <w:tab/>
        <w:t>w infrastrukturę turystyczną uwzględniającą zmniejszanie negatywnego oddziaływania na zasoby przyrodnicze, krajobrazowe i kulturowe</w:t>
      </w:r>
      <w:r>
        <w:br/>
        <w:t>8.</w:t>
      </w:r>
      <w:r>
        <w:tab/>
        <w:t>ograniczających antropopresję urbanistyczną i promujących    zrównoważony rozwój turystyki na obszarach cennych przyrodniczo</w:t>
      </w:r>
      <w:r>
        <w:br/>
        <w:t>9.</w:t>
      </w:r>
      <w:r>
        <w:tab/>
        <w:t>służących ochronie środowiska naturalnego, poprzez ukierunkowanie ruchu turystycznego oraz zapewnienie ograniczenia degradacji środowiska przyrodniczego w miejscach przemieszczania się i wypoczynku osób zwiedzających</w:t>
      </w:r>
      <w:r>
        <w:br/>
        <w:t>10.</w:t>
      </w:r>
      <w:r>
        <w:tab/>
        <w:t>wynikających z dokumentów o charakterze strategicznym, w szczególności z Unijnej strategii na rzecz bioróżnorodności do 2030 r. i Priorytetowych Ram Działania (PAF) dla sieci Natura 2000 w Polsce na lata 2021-2027</w:t>
      </w:r>
      <w:r>
        <w:br/>
        <w:t>11.</w:t>
      </w:r>
      <w:r>
        <w:tab/>
        <w:t>edukacyjnych stanowiących element projektu (kampanie edukacyjno-informacyjne, kształtowanie świadomości ekologicznej, przekazywanie wiedzy i promowanie w społeczeństwie ekologicznych postaw, zachowań oraz tworzenie warunków do aktywnego korzystania z jej zasobów, bez szkody dla środowiska).</w:t>
      </w:r>
      <w:r>
        <w:br/>
      </w:r>
      <w:r>
        <w:br/>
        <w:t>W typie projektu  Tworzenie Centrów Ochrony Bioróżnorodności i Edukacji Ekologicznej w Parkach Krajobrazowych przewiduje się wsparcie dla następujących działań:</w:t>
      </w:r>
      <w:r>
        <w:br/>
        <w:t>1.</w:t>
      </w:r>
      <w:r>
        <w:tab/>
        <w:t>Utworzenie Centrum Ochrony Bioróżnorodności i Edukacji Puszczy Kozienickiej w Augustowie k. Pionek na terenie Kozienickiego Parku Krajobrazowego.</w:t>
      </w:r>
      <w:r>
        <w:br/>
      </w:r>
      <w:r>
        <w:br/>
        <w:t>W typie projektu Ochrona różnorodności biologicznej i rodzimych gatunków roślinnych i zwierzęcych na terenach miejskich i pozamiejskich przewiduje się wsparcie dla następujących działań:</w:t>
      </w:r>
      <w:r>
        <w:br/>
        <w:t>1.</w:t>
      </w:r>
      <w:r>
        <w:tab/>
        <w:t xml:space="preserve">przywracanie utraconej różnorodności biologicznej na obszarach miejskich i pozamiejskich, w tym w szczególności na obszarach Natura 2000 oraz tworzenie centrów ochrony jako warunków rozwoju i rozmnażania dla fauny i flory, rodzimych gatunków roślinnych i zwierzęcych (arboreta, parki miejskie, ogrody botaniczne, eko-parki, ośrodki rehabilitacji, banki genowe) </w:t>
      </w:r>
      <w:r>
        <w:br/>
        <w:t>2.</w:t>
      </w:r>
      <w:r>
        <w:tab/>
        <w:t>zapewnienie warunków do wzrostu liczebności populacji rzadkich,  zagrożonych i innych cennych przyrodniczo gatunków</w:t>
      </w:r>
      <w:r>
        <w:br/>
        <w:t>3.</w:t>
      </w:r>
      <w:r>
        <w:tab/>
        <w:t xml:space="preserve">ograniczenie rozprzestrzeniania się populacji gatunków obcego geograficznie pochodzenia, w tym roślin inwazyjnych, szczególnie zagrażających gatunkom rodzimym </w:t>
      </w:r>
      <w:r>
        <w:br/>
        <w:t>4.</w:t>
      </w:r>
      <w:r>
        <w:tab/>
        <w:t xml:space="preserve">zakładanie łąk kwietnych, stanowiących pokarm dla naturalnych zapylaczy </w:t>
      </w:r>
      <w:r>
        <w:br/>
        <w:t>5.</w:t>
      </w:r>
      <w:r>
        <w:tab/>
        <w:t xml:space="preserve">zazielenianie poprzez nasadzenia odmian drzew, krzewów, roślinności prowadzącej do odtworzenia różnorodności biologicznej </w:t>
      </w:r>
      <w:r>
        <w:br/>
        <w:t>6.</w:t>
      </w:r>
      <w:r>
        <w:tab/>
        <w:t>zielona infrastruktura stanowiąca sieć wysokiej jakości naturalnych i seminaturalnych obszarów (planowanie, projektowanie i zarządzanie, w celu dostarczenia szerokiego wachlarza usług ekosystemowych oraz ochrony różnorodności biologicznej)</w:t>
      </w:r>
      <w:r>
        <w:br/>
        <w:t>7.</w:t>
      </w:r>
      <w:r>
        <w:tab/>
        <w:t>edukacyjnych stanowiących element projektu (kampanie edukacyjno-informacyjne, kształtowanie świadomości ekologicznej, przekazywanie wiedzy i promowanie w społeczeństwie ekologicznych postaw, zachowań oraz tworzenie warunków do aktywnego korzystania z jej zasobów, bez szkody dla środowiska).</w:t>
      </w:r>
      <w:r>
        <w:br/>
        <w:t>W odniesieniu do przedsięwzięć wspieranych w ramach ww. działań zastosowanie będą mieć następujące zasady:</w:t>
      </w:r>
      <w:r>
        <w:br/>
      </w:r>
      <w:r>
        <w:lastRenderedPageBreak/>
        <w:t>1.</w:t>
      </w:r>
      <w:r>
        <w:tab/>
        <w:t>Wdrażanie działań służących celom ochrony bioróżnorodności w ramach wsparcia zielonej infrastruktury dotyczy miast o liczbie mieszkańców nie większej niż 20 tys. (z wyłączeniem stolic powiatów z przedziału 15-20 tys. mieszkańców)</w:t>
      </w:r>
      <w:r>
        <w:br/>
        <w:t>2.</w:t>
      </w:r>
      <w:r>
        <w:tab/>
        <w:t>Wsparcie dla projektów dotyczących inwazyjnych gatunków obcych, dla których opracowano wytyczne dotyczące metod zwalczania, realizowane będzie przez JST i przez pozostałe podmioty (z wyłączeniem organów zobowiązanych do podjęcia działań, wskazanych w art. 21 ust. 1 pkt. 1-3, ust. 2 pkt. 1 i pkt. 2 lit. a ustawy z dnia 11 sierpnia 2021 r. o gatunkach obcych).</w:t>
      </w:r>
      <w:r>
        <w:br/>
        <w:t>W odniesieniu do przedsięwzięć wspieranych w ramach ww. typów projektów zastosowanie będą mieć następujące zasady:</w:t>
      </w:r>
      <w:r>
        <w:br/>
        <w:t>1. Wsparcie dla projektów infrastrukturalnych, które nie są związane bezpośrednio z ochroną gatunków i siedlisk (tj. centra bioróżnorodności i infrastruktura związana z kanalizacją ruchu turystycznego), wyniesie maksymalnie 30% alokacji na ten cel,</w:t>
      </w:r>
      <w:r>
        <w:br/>
        <w:t>2. Inwestycje, które nie przyczyniają się bezpośrednio do ochrony, odbudowy i zrównoważonego zarządzania obszarami chronionymi, takie jak parkingi i drogi dojazdowe, nie będą kwalifikowalne. W przypadku kiedy potrzeba ich budowy wynika z zapisów planu ochrony dla danego obszaru chronionego lub z konieczności ograniczenia presji ze strony ruchu turystycznego na ten obszar i uzyskano potwierdzenie organu sprawującego nadzór nad obszarem ww. wydatki mogą być kwalifikowalne, ale będą mogły stanowić wyłącznie element projektu i będą ograniczone do 20%.</w:t>
      </w:r>
      <w:r>
        <w:br/>
      </w:r>
      <w:r>
        <w:br/>
        <w:t>W typie projektu Usuwanie miejsc nielegalnego nagromadzenia odpadów przewiduje się wsparcie dla następujących działań:</w:t>
      </w:r>
      <w:r>
        <w:br/>
        <w:t>1.</w:t>
      </w:r>
      <w:r>
        <w:tab/>
        <w:t xml:space="preserve">usunięcie odpadów z miejsca nielegalnego ich nagromadzenia </w:t>
      </w:r>
      <w:r>
        <w:br/>
        <w:t>2.</w:t>
      </w:r>
      <w:r>
        <w:tab/>
        <w:t>rekultywację i remediację zanieczyszczonego  i zdegradowanego terenu</w:t>
      </w:r>
      <w:r>
        <w:br/>
        <w:t>3.</w:t>
      </w:r>
      <w:r>
        <w:tab/>
        <w:t xml:space="preserve">przywrócenie wartości użytkowej terenu zagospodarowanie terenu (przyrodnicze, społeczne, publiczne) </w:t>
      </w:r>
      <w:r>
        <w:br/>
        <w:t>W odniesieniu do przedsięwzięć wspieranych w ramach ww. działań zastosowanie będą mieć następujące zasady:</w:t>
      </w:r>
      <w:r>
        <w:br/>
        <w:t>1.</w:t>
      </w:r>
      <w:r>
        <w:tab/>
        <w:t>Wsparcie może być udzielone w przypadkach, gdy podmiot odpowiedzialny za degradację terenu czy też nielegalne składowanie odpadów nie może być zidentyfikowany lub nie może zostać obarczony odpowiedzialnością za sfinansowanie remediacji lub rekultywacji zgodnie z zasadą „zanieczyszczający płaci".</w:t>
      </w:r>
      <w:r>
        <w:br/>
        <w:t>2.</w:t>
      </w:r>
      <w:r>
        <w:tab/>
        <w:t>Wsparcie przeznaczone jest dla projektów jednostek samorządu terytorialnego i ich związków na terenach nienależących do Skarbu Państwa.</w:t>
      </w:r>
      <w:r>
        <w:br/>
        <w:t>3. Rewaloryzacja obszarów przemysłowych i rekultywacja skażonych gruntów zgodnie z kryteriami efektywności będzie, jeśli celem działania jest przekształcenie obszarów przemysłowych i skażonych gruntów w naturalne pochłaniacze dwutlenku węgla.</w:t>
      </w:r>
      <w:r>
        <w:br/>
        <w:t xml:space="preserve">Preferencje punktowe mogą być stosowane w projektach: </w:t>
      </w:r>
      <w:r>
        <w:br/>
        <w:t>•</w:t>
      </w:r>
      <w:r>
        <w:tab/>
        <w:t>skierowanych na obszary strategicznej interwencji (OSI) wyznaczone w KSRR i wynikające z SR WM 2030+, tj. miast średnich tracących funkcje społeczno-gospodarcze oraz gmin zagrożonych trwałą marginalizacją,</w:t>
      </w:r>
      <w:r>
        <w:br/>
        <w:t>•</w:t>
      </w:r>
      <w:r>
        <w:tab/>
        <w:t>realizowanych w ramach MSIT lub wynikające z GPR,</w:t>
      </w:r>
      <w:r>
        <w:br/>
        <w:t>•</w:t>
      </w:r>
      <w:r>
        <w:tab/>
        <w:t xml:space="preserve">uczestników i podmiotów zaangażowanych we współpracę międzyregionalną lub </w:t>
      </w:r>
      <w:r>
        <w:lastRenderedPageBreak/>
        <w:t xml:space="preserve">międzynarodową. </w:t>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p>
    <w:p w14:paraId="63E498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3BD25E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A62D5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C9BA7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A7C973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8C25D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5395FB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BD5E9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18762A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85C38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54FDD03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2829EA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B0502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A43021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7B486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38661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754BFD9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F4CE4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3E6B72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50E07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 Przedsiębiorstwa realizujące cele publiczne, Służby publiczne</w:t>
      </w:r>
    </w:p>
    <w:p w14:paraId="06427E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FF386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bioróżnorodność, dokumenty_planistyczne, edukacja_przyrodnicza, ekosystem, gatunki_inwazyjne, obszary_chronione, odtwarzanie_siedlisk, usuwanie_zanieczyszczeń, wysypisko, zielona_infrastruktura</w:t>
      </w:r>
    </w:p>
    <w:p w14:paraId="7C803B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5E870B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7DCA33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117AFB5" w14:textId="6DC6B8BC"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16" w:history="1">
        <w:r w:rsidRPr="005B2474">
          <w:rPr>
            <w:rStyle w:val="Hipercze"/>
          </w:rPr>
          <w:t>https://funduszeuedlamazowsza.eu/uchwaly-km-fem/</w:t>
        </w:r>
      </w:hyperlink>
    </w:p>
    <w:p w14:paraId="14BC9A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27B5D1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WLWK-PLRO136 - Długość odnowionych szlaków turystycznych</w:t>
      </w:r>
    </w:p>
    <w:p w14:paraId="71AF441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WLWK-PLRO137 - Długość utworzonych szlaków turystycznych</w:t>
      </w:r>
    </w:p>
    <w:p w14:paraId="6BD45FE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WLWK-PLRO194 - Liczba obiektów infrastruktury na cele ukierunkowania ruchu turystycznego albo edukacji przyrodniczej</w:t>
      </w:r>
    </w:p>
    <w:p w14:paraId="4D6F0AB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WLWK-PLRO074 - Liczba opracowanych dokumentów planistycznych z zakresu ochrony przyrody</w:t>
      </w:r>
    </w:p>
    <w:p w14:paraId="37F9D4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65D3F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WLWK-PLRO071 - Liczba wspartych form ochrony przyrody</w:t>
      </w:r>
    </w:p>
    <w:p w14:paraId="425551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WLWK-PLRO144 - Liczba wspartych obiektów w miejscach dziedzictwa naturalnego</w:t>
      </w:r>
    </w:p>
    <w:p w14:paraId="5E28EB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WLWK-PLRO261 - Masa odpadów zebranych, niewłaściwie składowanych lub magazynowanych</w:t>
      </w:r>
    </w:p>
    <w:p w14:paraId="62CD09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6EFB79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WLWK-PLRO069 - Powierzchnia obszarów chronionych i cennych przyrodniczo innych niż Natura 2000 objętych działaniami ochronnymi i odtwarzającymi</w:t>
      </w:r>
    </w:p>
    <w:p w14:paraId="40661F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WLWK-RCO037 - Powierzchnia obszarów Natura 2000 objętych środkami ochrony i odtworzenia</w:t>
      </w:r>
    </w:p>
    <w:p w14:paraId="28E0C5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WLWK-PLRO072 - Powierzchnia parków krajobrazowych objętych wsparciem w ramach realizacji zadań objętych planami ochrony</w:t>
      </w:r>
    </w:p>
    <w:p w14:paraId="51F997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WLWK-PLRO070 - Powierzchnia siedlisk wspieranych w celu uzyskania lepszego statusu ochrony</w:t>
      </w:r>
    </w:p>
    <w:p w14:paraId="6F4389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WLWK-RCO038 - Powierzchnia wspieranych zrekultywowanych gruntów</w:t>
      </w:r>
    </w:p>
    <w:p w14:paraId="0CEF441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521345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85192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WLWK-RCR052 - Grunty zrekultywowane wykorzystywane jako tereny zielone, pod budowę lokali socjalnych lub pod działalność gospodarczą lub inną</w:t>
      </w:r>
    </w:p>
    <w:p w14:paraId="7C732F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WLWK-PLRR042 - Liczba gatunków zagrożonych, dla których wykonano działania ochronne</w:t>
      </w:r>
    </w:p>
    <w:p w14:paraId="69E052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WLWK-PLRR044 - Liczba inwazyjnych gatunków obcych, wobec których podjęto działania ograniczające ich negatywny wpływ</w:t>
      </w:r>
    </w:p>
    <w:p w14:paraId="5DC8BC8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WLWK-PLRR045 - Liczba przedsięwzięć z zakresu ochrony przyrody wspartych w fazie przygotowawczej</w:t>
      </w:r>
    </w:p>
    <w:p w14:paraId="78F484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57982B9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WLWK-RCR050 - Ludność odnosząca korzyści ze środków na rzecz jakości powietrza</w:t>
      </w:r>
    </w:p>
    <w:p w14:paraId="03CD9F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WLWK-PLRR043 - Powierzchnia obszarów chronionych, dla których opracowano dokumenty planistyczne</w:t>
      </w:r>
    </w:p>
    <w:p w14:paraId="026D6C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WLWK-PLRR050 - Średnioroczna liczba odbiorców działań edukacji przyrodniczej we wspartych ośrodkach</w:t>
      </w:r>
    </w:p>
    <w:p w14:paraId="3AE2E4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2D5F5639"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4" w:name="_Toc237347958"/>
      <w:r>
        <w:rPr>
          <w:rFonts w:ascii="Calibri" w:hAnsi="Calibri" w:cs="Calibri"/>
          <w:i w:val="0"/>
          <w:sz w:val="32"/>
        </w:rPr>
        <w:t>Priorytet FEMA.03 Fundusze Europejskie na rozwój mobilności miejskiej na Mazowszu</w:t>
      </w:r>
      <w:bookmarkEnd w:id="14"/>
    </w:p>
    <w:p w14:paraId="3D7B87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46F8B5F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4E6ABA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6F91CD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479596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50BE55F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w:t>
      </w:r>
      <w:r>
        <w:lastRenderedPageBreak/>
        <w:t>klimatu i przystosowania się do nich, zapobiegania ryzyku i zarządzania ryzykiem, oraz zrównoważonej mobilności miejskiej</w:t>
      </w:r>
    </w:p>
    <w:p w14:paraId="30F42F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22C4D0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7370AE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44E9B0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383 764 706,00</w:t>
      </w:r>
    </w:p>
    <w:p w14:paraId="542741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0F882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245 000 000,00</w:t>
      </w:r>
    </w:p>
    <w:p w14:paraId="58A0C6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2AFBFB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60,45</w:t>
      </w:r>
    </w:p>
    <w:p w14:paraId="1FF37D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5B2F27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39,55</w:t>
      </w:r>
    </w:p>
    <w:p w14:paraId="3B0FF7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6E92C87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02150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92789F1"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5" w:name="_Toc237347959"/>
      <w:r>
        <w:rPr>
          <w:rFonts w:ascii="Calibri" w:hAnsi="Calibri" w:cs="Calibri"/>
          <w:sz w:val="32"/>
        </w:rPr>
        <w:t>Działanie FEMA.03.01 Mobilność miejska</w:t>
      </w:r>
      <w:bookmarkEnd w:id="15"/>
    </w:p>
    <w:p w14:paraId="2CE3DF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CF1FE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EFRR/FS.CP2.VIII - Wspieranie zrównoważonej multimodalnej mobilności miejskiej jako elementu transformacji w kierunku gospodarki zeroemisyjnej</w:t>
      </w:r>
    </w:p>
    <w:p w14:paraId="2AAECE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F3F17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272DC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B75CF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151 764 706,00</w:t>
      </w:r>
    </w:p>
    <w:p w14:paraId="419D35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71B54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129 000 000,00</w:t>
      </w:r>
    </w:p>
    <w:p w14:paraId="7E7257F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3A69CD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077 - Działania mające na celu poprawę jakości powietrza i ograniczenie hałasu, 081 - Infrastruktura czystego transportu miejskiego, 082 - Tabor czystego transportu miejskiego, 083 - Infrastruktura rowerowa, 086 - Infrastruktura paliw alternatywnych</w:t>
      </w:r>
    </w:p>
    <w:p w14:paraId="29DCB2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lastRenderedPageBreak/>
        <w:t>Opis działania</w:t>
      </w:r>
    </w:p>
    <w:p w14:paraId="12AD98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Infrastruktura rowerowa i piesza,</w:t>
      </w:r>
      <w:r>
        <w:br/>
        <w:t>2.</w:t>
      </w:r>
      <w:r>
        <w:tab/>
        <w:t>Ekologiczny i konkurencyjny transport publiczny,</w:t>
      </w:r>
      <w:r>
        <w:br/>
        <w:t>3.</w:t>
      </w:r>
      <w:r>
        <w:tab/>
        <w:t>Budowa i przebudowa infrastruktury transportu publicznego.</w:t>
      </w:r>
      <w:r>
        <w:br/>
        <w:t>4.</w:t>
      </w:r>
      <w:r>
        <w:tab/>
        <w:t>Przygotowanie i aktualizacja planów zrównoważonej mobilności miejskiej (SUMP).</w:t>
      </w:r>
      <w:r>
        <w:br/>
        <w:t>Wsparte projekty muszą być realizowane poprzez instrument terytorialny – MSIT.</w:t>
      </w:r>
      <w:r>
        <w:br/>
        <w:t>W ramach typu projektu Infrastruktura rowerowa i piesza, wsparciem objęte będą projekty dotyczące:</w:t>
      </w:r>
      <w:r>
        <w:br/>
        <w:t>•</w:t>
      </w:r>
      <w:r>
        <w:tab/>
        <w:t>niezmotoryzowanego transportu indywidualnego w obrębie miast i ich obszarów funkcjonalnych,</w:t>
      </w:r>
      <w:r>
        <w:br/>
        <w:t>•</w:t>
      </w:r>
      <w:r>
        <w:tab/>
        <w:t>infrastruktury niezbędnej do korzystania z form indywidualnej mobilności aktywnej, w tym ruchu pieszego i  rowerowego, m.in.: ścieżki rowerowe, parkingi, ogólnodostępne punkty serwisowe, przechowalnie rowerów, stojaki rowerowe, łączniki rowerowe przy ślepych ulicach, kładki, tunele, wydzielone drogi rowerowe poza jezdnią, pasy ruchu dla rowerów w jezdni, kontrapasy, śluzy rowerowe w jezdni na skrzyżowaniach, sygnalizacja dla rowerzystów, windy i wyciągi rowerowe.</w:t>
      </w:r>
      <w:r>
        <w:br/>
        <w:t>W ramach typu projektu Ekologiczny i konkurencyjny transport publiczny wsparciem objęte będą projekty dotyczące:</w:t>
      </w:r>
      <w:r>
        <w:br/>
        <w:t>•</w:t>
      </w:r>
      <w:r>
        <w:tab/>
        <w:t>zakupu niskoemisyjnego i zeroemisyjnego taboru autobusowego;</w:t>
      </w:r>
      <w:r>
        <w:br/>
        <w:t>•</w:t>
      </w:r>
      <w:r>
        <w:tab/>
        <w:t>rozbudowy infrastruktury paliw o punkty ładowania pojazdów elektrycznych i stacji tankowania pojazdów wodorowych (dotyczy pojazdów transportu publicznego oraz samochodów prywatnych);</w:t>
      </w:r>
      <w:r>
        <w:br/>
        <w:t>•</w:t>
      </w:r>
      <w:r>
        <w:tab/>
        <w:t>infrastruktury niezbędnej do korzystania z komplementarnych form transportu, tj. transportu bezemisyjnego komplementarnego w stosunku do autobusowego transportu publicznego np.: carsharing oparty o pojazdy elektryczne.</w:t>
      </w:r>
      <w:r>
        <w:br/>
        <w:t xml:space="preserve">W odniesieniu do przedsięwzięć wspieranych w ramach ww. działań zastosowanie będą mieć następujące zasady: </w:t>
      </w:r>
      <w:r>
        <w:br/>
        <w:t xml:space="preserve">Tabor kołowy powinien spełniać wymogi "ekologicznie czystych pojazdów" w rozumieniu dyrektywy 2019/1161 zmieniającej dyrektywę 2009/33/WE w sprawie promowania ekologicznie czystych i energooszczędnych pojazdów transportu drogowego, przy czym zakup taboru innego niż bezemisyjny będzie możliwy tylko w  przypadku, gdy zakup taboru bezemisyjnego nie będzie uzasadniony z przyczyn eksploatacyjnych lub technicznych </w:t>
      </w:r>
      <w:r>
        <w:br/>
        <w:t>W ramach typu projektu Budowa i przebudowa infrastruktury transportu publicznego wsparciem objęte będą projekty dotyczące:</w:t>
      </w:r>
      <w:r>
        <w:br/>
        <w:t>•</w:t>
      </w:r>
      <w:r>
        <w:tab/>
        <w:t>budowy i przebudowy infrastruktury przystankowej wraz z wyposażeniem,</w:t>
      </w:r>
      <w:r>
        <w:br/>
        <w:t>•</w:t>
      </w:r>
      <w:r>
        <w:tab/>
        <w:t xml:space="preserve"> infrastruktury niezbędnej dla eksploatacji, utrzymania i obsługi taboru transportu publicznego wraz z niezbędnymi urządzeniami, budowa i przebudowa węzłów przesiadkowych, w tym obiektów P&amp;R, </w:t>
      </w:r>
      <w:r>
        <w:br/>
        <w:t>•</w:t>
      </w:r>
      <w:r>
        <w:tab/>
        <w:t xml:space="preserve"> systemów cyfrowych dla transportu publicznego i bezemisyjnej mobilności, w tym szczególnie w zakresie integracji taryfowej i wdrożenia koncepcji „Mobilność jako usługa” (MaaS),</w:t>
      </w:r>
      <w:r>
        <w:br/>
        <w:t>Działania polegające np. na nasadzeniach drzew, instalacji elementów zielonej infrastruktury, czy też wymianie oświetlenia ulicznego będą wspierane wyłącznie jako element projektu.</w:t>
      </w:r>
      <w:r>
        <w:br/>
        <w:t xml:space="preserve">W odniesieniu do przedsięwzięć wspieranych w ramach ww. działań zastosowanie będą mieć następujące zasady: </w:t>
      </w:r>
      <w:r>
        <w:br/>
      </w:r>
      <w:r>
        <w:lastRenderedPageBreak/>
        <w:t>1. W przypadku obiektów P&amp;R wspierane będą jedynie obiekty położone z dala od centrów miast  i jedynie wówczas, jeżeli będą one zintegrowane z transportem publicznym. W miastach powyżej 50 tys. mieszkańców wsparcie dla tych obiektów będzie możliwe pod warunkiem ich zlokalizowania poza obszarem funkcjonalnym śródmieścia, wyznaczonym w studium uwarunkowań i kierunków zagospodarowania przestrzennego.</w:t>
      </w:r>
      <w:r>
        <w:br/>
        <w:t xml:space="preserve">2. Wsparciem nie będzie objęta infrastruktura drogowa wykorzystywana przez pojazdy samochodowe niewykorzystywane w transporcie publicznym, z wyjątkiem: </w:t>
      </w:r>
      <w:r>
        <w:br/>
        <w:t>•</w:t>
      </w:r>
      <w:r>
        <w:tab/>
        <w:t>obiektów P&amp;R,</w:t>
      </w:r>
      <w:r>
        <w:br/>
        <w:t>•</w:t>
      </w:r>
      <w:r>
        <w:tab/>
        <w:t>infrastruktury ładowania lub tankowania pojazdów bezemisyjnych,</w:t>
      </w:r>
      <w:r>
        <w:br/>
        <w:t>•</w:t>
      </w:r>
      <w:r>
        <w:tab/>
        <w:t>systemów cyfrowych (ITS) dla transportu publicznego, rowerowego, lub innego transportu drogowego jeżeli ich przeznaczeniem jest zmniejszenie oddziaływania transportu na środowisko i klimat,</w:t>
      </w:r>
      <w:r>
        <w:br/>
        <w:t>•</w:t>
      </w:r>
      <w:r>
        <w:tab/>
        <w:t>przebudowy pasa drogowego niezbędna dla wydzielenia pasa ruchu dla rowerów w jezdni,</w:t>
      </w:r>
      <w:r>
        <w:br/>
        <w:t>•</w:t>
      </w:r>
      <w:r>
        <w:tab/>
        <w:t>środków ukierunkowanych na poprawę bezpieczeństwa niechronionych użytkowników dróg (w tym pieszych i rowerzystów).</w:t>
      </w:r>
      <w:r>
        <w:br/>
        <w:t>Preferowane będą projekty powiązane z wprowadzaniem integracji taryfowej oraz wdrażaniem MaaS.</w:t>
      </w:r>
      <w:r>
        <w:br/>
        <w:t>W ramach typu projektu: Przygotowanie i aktualizacja planów zrównoważonej mobilności miejskiej wspierane będą projekty polegające na przygotowaniu lub aktualizacji planów zrównoważonej mobilności miejskiej opracowywane i wdrażane przez JST.</w:t>
      </w:r>
      <w:r>
        <w:br/>
      </w:r>
      <w:r>
        <w:br/>
        <w:t>Interwencja w zakresie zrównoważonej mobilności miejskiej możliwa będzie:</w:t>
      </w:r>
      <w:r>
        <w:br/>
        <w:t>1. W miastach powyżej 100 tys. mieszkańców oraz w gminach położonych na ich miejskich obszarach funkcjonalnych, pod warunkiem przyjęcia:</w:t>
      </w:r>
      <w:r>
        <w:br/>
        <w:t xml:space="preserve">a. SUMP lub </w:t>
      </w:r>
      <w:r>
        <w:br/>
        <w:t xml:space="preserve">b. innego dokumentu dotyczącego planowania transportu miejskiego oraz zobowiązanie, że SUMP zostanie przyjęty nie później niż 31 grudnia 2025 r; </w:t>
      </w:r>
      <w:r>
        <w:br/>
        <w:t>2. W miastach poniżej 100 tys. mieszkańców, pod warunkiem przyjęcia odpowiedniego dokumentu dotyczącego planowania transportu miejskiego (np. dostosowanej strategii IIT/strategii rozwoju ponadlokalnego), przy czym preferowany będzie SUMP.</w:t>
      </w:r>
      <w:r>
        <w:br/>
        <w:t>Wsparcie udzielane w ramach niniejszego działania powinno być komplementarne do wsparcia udzielonego w ramach programu krajowego Fundusze Europejskie dla Polski Wschodniej 2021-2027 (FEPW) (dotyczy miast Radom, Siedlce i Ostrołęka).</w:t>
      </w:r>
      <w:r>
        <w:br/>
      </w:r>
      <w:r>
        <w:br/>
        <w:t>Preferencje punktowe mogą być stosowane w projektach skierowanych na obszary strategicznej interwencji (OSI) wyznaczone w KSRR i wynikające z SR WM 2030+, tj. miast średnich tracących funkcje społeczno-gospodarcze oraz gmin zagrożonych trwałą marginalizacją.</w:t>
      </w:r>
      <w:r>
        <w:br/>
      </w:r>
      <w:r>
        <w:br/>
        <w:t>Preferencje punktowe mogą być stosowane w projektach zgodnych ze „Standardami infrastruktury rowerowej i koncepcją tras rowerowych wskazanych do realizacji w perspektywie do 2030 roku w województwie mazowieckim” przyjętych Uchwałą 1100/333/22 Zarządu Województwa Mazowieckiego z dnia 28 czerwca 2022 r.</w:t>
      </w:r>
      <w:r>
        <w:br/>
      </w:r>
      <w:r>
        <w:br/>
        <w:t>Dofinansowane projekty będą zgodne z art. 9 rozporządzenia 2021/1060, tj.:</w:t>
      </w:r>
      <w:r>
        <w:br/>
      </w:r>
      <w:r>
        <w:lastRenderedPageBreak/>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Przedsięwzięcia typu:</w:t>
      </w:r>
      <w:r>
        <w:br/>
        <w:t>•</w:t>
      </w:r>
      <w:r>
        <w:tab/>
        <w:t>infrastruktura rowerowa i piesza, w tym wsparcie systemów wypożyczeń rowerów, hulajnóg;</w:t>
      </w:r>
      <w:r>
        <w:br/>
        <w:t>•</w:t>
      </w:r>
      <w:r>
        <w:tab/>
        <w:t>ekologiczny i konkurencyjny transport publiczny, w zakresie wsparcia infrastruktury ładowania lub tankowania pojazdów bezemisyjnych, infrastruktura paliw alternatywnych (transport publiczny oraz samochody prywatne) oraz</w:t>
      </w:r>
      <w:r>
        <w:br/>
        <w:t>•</w:t>
      </w:r>
      <w:r>
        <w:tab/>
        <w:t>infrastruktury niezbędnej do korzystania  z  komplementarnych form transportu w zakresie carsharingu opartego o pojazdy elektryczne</w:t>
      </w:r>
      <w:r>
        <w:br/>
        <w:t xml:space="preserve">finansowane są w formie instrumentów finansowych w postaci pożyczek inwestycyjnych, jako wsparcie pilotażowe. W projektach łączących IF z dotacją w formie rabatu kapitałowego, wysokość umorzenia zależy od wartości określonych wskaźników. W przypadku projektów realizowanych przez jednostki administracji publicznej, formą wsparcia będzie dotacja z uwagi na to, że realizowane przedsięwzięcia stanowią dobro publiczne. </w:t>
      </w:r>
      <w:r>
        <w:br/>
        <w:t>Grupę Ostatecznych Odbiorców IF stanowią w szczególności przedsiębiorcy i organizatorzy publicznego transportu zbiorowego.</w:t>
      </w:r>
    </w:p>
    <w:p w14:paraId="28D2CD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A20565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59D563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00089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F962C6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F3281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3FA1CC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krajowa podstawa prawna</w:t>
      </w:r>
    </w:p>
    <w:p w14:paraId="3D2889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14:paraId="573E74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21B48E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3BC9BAB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50BBE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6EA419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86CE8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50E7B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7A132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E1489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4EE83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D3F45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F6629F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1D647D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32924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wspierające biznes, Przedsiębiorstwa realizujące cele publiczne, Służby publiczne</w:t>
      </w:r>
    </w:p>
    <w:p w14:paraId="4C5EE8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00B9D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 Jednostki Samorządu Terytorialnego, Organizatorzy i operatorzy publicznego transportu zbiorowego, Zarządcy dróg publicznych</w:t>
      </w:r>
    </w:p>
    <w:p w14:paraId="08968C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2A9D0B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bezpieczeństwo_ruchu, centrum_przesiadkowe, czysty_transport, instrument_finansowy, mobilność_miejska, park_and_ride, pożyczki_dla_przedsiębiorstw, punkty_ładowania, ścieżki_rowerowe, transport</w:t>
      </w:r>
    </w:p>
    <w:p w14:paraId="17B7F9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7F176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55535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40E8D60E" w14:textId="068A6773"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17" w:history="1">
        <w:r w:rsidRPr="005B2474">
          <w:rPr>
            <w:rStyle w:val="Hipercze"/>
          </w:rPr>
          <w:t>https://funduszeuedlamazowsza.eu/uchwaly-km-fem/</w:t>
        </w:r>
      </w:hyperlink>
    </w:p>
    <w:p w14:paraId="3F68AF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E32E7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71E60F6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WLWK-PLRO093 - Liczba doposażonych obiektów „parkuj i jedź"</w:t>
      </w:r>
    </w:p>
    <w:p w14:paraId="21E8C5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WLWK-PLRO094 - Liczba miejsc postojowych dla osób z niepełnosprawnościami w wybudowanych, przebudowanych lub doposażonych obiektach „parkuj i jedź”</w:t>
      </w:r>
    </w:p>
    <w:p w14:paraId="79F12B7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341D468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622687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WLWK-PLRO099 - Liczba przebudowanych i rozbudowanych zintegrowanych węzłów przesiadkowych</w:t>
      </w:r>
    </w:p>
    <w:p w14:paraId="7B261B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WLWK-PLRO092 - Liczba przebudowanych obiektów „parkuj i jedź"</w:t>
      </w:r>
    </w:p>
    <w:p w14:paraId="000501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WLWK-PLRO280 - Liczba przygotowanych i przyjętych planów zrównoważonej mobilności miejskiej (SUMP)</w:t>
      </w:r>
    </w:p>
    <w:p w14:paraId="5B0DF1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WLWK-PLRO096 - Liczba stanowisk postojowych w wybudowanych obiektach „Bike&amp;Ride”</w:t>
      </w:r>
    </w:p>
    <w:p w14:paraId="40FA9C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WLWK-PLRO184 - Liczba wspartych publicznych systemów wypożyczania rowerów</w:t>
      </w:r>
    </w:p>
    <w:p w14:paraId="695B75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WLWK-PLRO095 - Liczba wybudowanych obiektów „Bike&amp;Ride”</w:t>
      </w:r>
    </w:p>
    <w:p w14:paraId="74C982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WLWK-PLRO091 - Liczba wybudowanych obiektów „parkuj i jedź"</w:t>
      </w:r>
    </w:p>
    <w:p w14:paraId="71961B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WLWK-PLRO098 - Liczba wybudowanych zintegrowanych węzłów przesiadkowych</w:t>
      </w:r>
    </w:p>
    <w:p w14:paraId="269C7B9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WLWK-PLRO088 - Liczba zakupionych jednostek taboru autobusowego w publicznym transporcie zbiorowym komunikacji miejskiej i metropolitarnej</w:t>
      </w:r>
    </w:p>
    <w:p w14:paraId="5C3F04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78A769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WLWK-RCO060 - Miasta z nowymi lub zmodernizowanymi cyfrowymi systemami transportu miejskiego</w:t>
      </w:r>
    </w:p>
    <w:p w14:paraId="497B2B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15512D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6639C1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50CDE3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58ECE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WLWK-PLRR047 - Liczba ludności korzystającej z nowych lub zmodernizowanych cyfrowych systemów transportu miejskiego</w:t>
      </w:r>
    </w:p>
    <w:p w14:paraId="529379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WLWK-PLRR021 - Liczba pojazdów korzystających z miejsc postojowych w wybudowanych, przebudowanych lub doposażonych obiektach „parkuj i jedź”</w:t>
      </w:r>
    </w:p>
    <w:p w14:paraId="7EAA29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WLWK-PLRR046 - Objętość paliwa wykorzystanego we wspartej infrastrukturze paliw alternatywnych</w:t>
      </w:r>
    </w:p>
    <w:p w14:paraId="60F89E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WLWK-RCR064 - Roczna liczba użytkowników infrastruktury rowerowej</w:t>
      </w:r>
    </w:p>
    <w:p w14:paraId="3CF2A5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WLWK-RCR062 - Roczna liczba użytkowników nowego lub zmodernizowanego transportu publicznego</w:t>
      </w:r>
    </w:p>
    <w:p w14:paraId="43CF81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0AA588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B845F6C"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6" w:name="_Toc237347960"/>
      <w:r>
        <w:rPr>
          <w:rFonts w:ascii="Calibri" w:hAnsi="Calibri" w:cs="Calibri"/>
          <w:sz w:val="32"/>
        </w:rPr>
        <w:t>Działanie FEMA.03.02 Mobilność miejska w ZIT</w:t>
      </w:r>
      <w:bookmarkEnd w:id="16"/>
    </w:p>
    <w:p w14:paraId="704D77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6DEAA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EFRR/FS.CP2.VIII - Wspieranie zrównoważonej multimodalnej mobilności miejskiej jako elementu transformacji w kierunku gospodarki zeroemisyjnej</w:t>
      </w:r>
    </w:p>
    <w:p w14:paraId="074ABD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956D6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738093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6AE093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232 000 000,00</w:t>
      </w:r>
    </w:p>
    <w:p w14:paraId="7DA3A9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AADEB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116 000 000,00</w:t>
      </w:r>
    </w:p>
    <w:p w14:paraId="4D290D7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AF5766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077 - Działania mające na celu poprawę jakości powietrza i ograniczenie hałasu, 081 - Infrastruktura czystego transportu miejskiego, 082 - Tabor czystego transportu miejskiego, 083 - Infrastruktura rowerowa, 086 - Infrastruktura paliw alternatywnych</w:t>
      </w:r>
    </w:p>
    <w:p w14:paraId="75CD0D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68393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Infrastruktura rowerowa i piesza,</w:t>
      </w:r>
      <w:r>
        <w:br/>
        <w:t>2.</w:t>
      </w:r>
      <w:r>
        <w:tab/>
        <w:t>Ekologiczny i konkurencyjny transport publiczny,</w:t>
      </w:r>
      <w:r>
        <w:br/>
        <w:t>3.</w:t>
      </w:r>
      <w:r>
        <w:tab/>
        <w:t>Budowa i przebudowa infrastruktury transportu publicznego.</w:t>
      </w:r>
      <w:r>
        <w:br/>
      </w:r>
      <w:r>
        <w:br/>
        <w:t>W ramach typu projektu Infrastruktura rowerowa i piesza, wsparciem objęte będą projekty dotyczące:</w:t>
      </w:r>
      <w:r>
        <w:br/>
        <w:t>•</w:t>
      </w:r>
      <w:r>
        <w:tab/>
        <w:t>niezmotoryzowanego transportu indywidualnego w obrębie miast i ich obszarów funkcjonalnych,</w:t>
      </w:r>
      <w:r>
        <w:br/>
        <w:t>•</w:t>
      </w:r>
      <w:r>
        <w:tab/>
        <w:t>infrastruktury niezbędnej do korzystania z form indywidualnej mobilności aktywnej, w tym ruchu pieszego i  rowerowego, m.in. ścieżki rowerowe, parkingi, ogólnodostępne punkty serwisowe, przechowalnie rowerów, stojaki rowerowe, łączniki rowerowe przy ślepych ulicach, kładki, tunele, wydzielone drogi rowerowe poza jezdnią, pasy ruchu dla rowerów w jezdni, kontrapasy, śluzy rowerowe w jezdni na skrzyżowaniach, sygnalizacja dla rowerzystów, windy i wyciągi rowerowe.</w:t>
      </w:r>
      <w:r>
        <w:br/>
      </w:r>
      <w:r>
        <w:br/>
        <w:t xml:space="preserve">W ramach typu projektu Ekologiczny i konkurencyjny transport publiczny wsparciem objęte będą </w:t>
      </w:r>
      <w:r>
        <w:lastRenderedPageBreak/>
        <w:t>projekty dotyczące:</w:t>
      </w:r>
      <w:r>
        <w:br/>
        <w:t>•</w:t>
      </w:r>
      <w:r>
        <w:tab/>
        <w:t>zakupu niskoemisyjnego i zeroemisyjnego taboru autobusowego;</w:t>
      </w:r>
      <w:r>
        <w:br/>
        <w:t>•</w:t>
      </w:r>
      <w:r>
        <w:tab/>
        <w:t>rozbudowy infrastruktury paliw o punkty ładowania pojazdów elektrycznych i stacji tankowania pojazdów wodorowych (dotyczy pojazdów transportu publicznego oraz samochodów prywatnych);</w:t>
      </w:r>
      <w:r>
        <w:br/>
        <w:t>•</w:t>
      </w:r>
      <w:r>
        <w:tab/>
        <w:t>infrastruktura niezbędna do korzystania  z  komplementarnych form transportu, tj. transportu bezemisyjnego komplementarnego w stosunku do autobusowego transportu publicznego np.: carsharing oparty o pojazdy elektryczne.</w:t>
      </w:r>
      <w:r>
        <w:br/>
        <w:t xml:space="preserve">W odniesieniu do przedsięwzięć wspieranych w ramach ww. działań zastosowanie będą mieć następujące zasady: </w:t>
      </w:r>
      <w:r>
        <w:br/>
        <w:t xml:space="preserve">Tabor kołowy powinien spełniać wymogi "ekologicznie czystych pojazdów" w rozumieniu dyrektywy 2019/1161 zmieniającej dyrektywę 2009/33/WE w sprawie promowania ekologicznie czystych i energooszczędnych pojazdów transportu drogowego, przy czym zakup taboru innego niż bezemisyjny będzie możliwy tylko w  przypadku, gdy zakup taboru bezemisyjnego nie będzie uzasadniony z przyczyn eksploatacyjnych lub technicznych </w:t>
      </w:r>
      <w:r>
        <w:br/>
        <w:t>W ramach typu projektu Budowa i przebudowa infrastruktury transportu publicznego wsparciem objęte będą projekty dotyczące:</w:t>
      </w:r>
      <w:r>
        <w:br/>
        <w:t>•</w:t>
      </w:r>
      <w:r>
        <w:tab/>
        <w:t>budowy i przebudowy infrastruktury przystankowej wraz z wyposażeniem,</w:t>
      </w:r>
      <w:r>
        <w:br/>
        <w:t>•</w:t>
      </w:r>
      <w:r>
        <w:tab/>
        <w:t xml:space="preserve"> infrastruktury niezbędnej dla eksploatacji, utrzymania i obsługi taboru transportu publicznego wraz z niezbędnymi urządzeniami, budowa i przebudowa węzłów przesiadkowych, w tym obiektów P&amp;R, </w:t>
      </w:r>
      <w:r>
        <w:br/>
        <w:t>•</w:t>
      </w:r>
      <w:r>
        <w:tab/>
        <w:t xml:space="preserve"> systemów cyfrowych dla transportu publicznego i bezemisyjnej mobilności, w tym szczególnie w zakresie integracji taryfowej i wdrożenia koncepcji „Mobilność jako usługa” (MaaS),</w:t>
      </w:r>
      <w:r>
        <w:br/>
        <w:t>Działania polegające np. na nasadzeniach drzew, instalacji elementów zielonej infrastruktury, czy też wymianie oświetlenia ulicznego będą wspierane wyłącznie jako element projektu.</w:t>
      </w:r>
      <w:r>
        <w:br/>
        <w:t xml:space="preserve">W odniesieniu do przedsięwzięć wspieranych w ramach ww. działań zastosowanie będą mieć następujące zasady: </w:t>
      </w:r>
      <w:r>
        <w:br/>
        <w:t>1.</w:t>
      </w:r>
      <w:r>
        <w:tab/>
        <w:t xml:space="preserve">W przypadku obiektów P&amp;R wspierane będą jedynie obiekty położone z dala od centrów miast i jedynie wówczas, jeżeli będą one zintegrowane z transportem publicznym. W miastach o liczbie mieszkańców powyżej 50 tys., inwestycje te będą wspierane pod warunkiem ich zlokalizowania poza obszarem funkcjonalnym śródmieścia wyznaczonym w studium uwarunkowań i kierunków zagospodarowania przestrzennego. </w:t>
      </w:r>
      <w:r>
        <w:br/>
        <w:t>2.</w:t>
      </w:r>
      <w:r>
        <w:tab/>
        <w:t>Wsparciem nie będzie objęta infrastruktura drogowa wykorzystywana przez pojazdy samochodowe niewykorzystywane w transporcie publicznym, z wyjątkiem:</w:t>
      </w:r>
      <w:r>
        <w:br/>
        <w:t>•</w:t>
      </w:r>
      <w:r>
        <w:tab/>
        <w:t>obiektów P&amp;R,</w:t>
      </w:r>
      <w:r>
        <w:br/>
        <w:t>•</w:t>
      </w:r>
      <w:r>
        <w:tab/>
        <w:t>infrastruktury ładowania lub tankowania pojazdów bezemisyjnych,</w:t>
      </w:r>
      <w:r>
        <w:br/>
        <w:t>•</w:t>
      </w:r>
      <w:r>
        <w:tab/>
        <w:t>systemów cyfrowych (ITS) dla transportu publicznego, rowerowego, lub innego transportu drogowego jeżeli ich przeznaczeniem jest zmniejszenie oddziaływania transportu na środowisko i klimat,</w:t>
      </w:r>
      <w:r>
        <w:br/>
        <w:t>•</w:t>
      </w:r>
      <w:r>
        <w:tab/>
        <w:t>przebudowy pasa drogowego niezbędna dla wydzielenia pasa ruchu dla rowerów w jezdni,</w:t>
      </w:r>
      <w:r>
        <w:br/>
        <w:t>•</w:t>
      </w:r>
      <w:r>
        <w:tab/>
        <w:t>środków ukierunkowanych na poprawę bezpieczeństwa niechronionych użytkowników dróg (w tym pieszych i rowerzystów).</w:t>
      </w:r>
      <w:r>
        <w:br/>
      </w:r>
      <w:r>
        <w:br/>
        <w:t>Preferowane będą projekty powiązane z wprowadzaniem integracji taryfowej oraz wdrażaniem MaaS.</w:t>
      </w:r>
      <w:r>
        <w:br/>
        <w:t xml:space="preserve">Interwencja w zakresie zrównoważonej mobilności miejskiej możliwa będzie pod warunkiem posiadania </w:t>
      </w:r>
      <w:r>
        <w:lastRenderedPageBreak/>
        <w:t>planu zrównoważonej mobilności miejskiej (Sustainable Urban Mobility Plans – SUMP).</w:t>
      </w:r>
      <w:r>
        <w:br/>
      </w:r>
      <w:r>
        <w:br/>
        <w:t>Preferencje punktowe mogą być stosowane w projektach zgodnych ze „Standardami infrastruktury rowerowej i koncepcją tras rowerowych wskazanych do realizacji w perspektywie do 2030 roku w województwie mazowieckim” przyjętych Uchwałą 1100/333/22 Zarządu Województwa Mazowieckiego z dnia 28 czerwca 2022 r.</w:t>
      </w:r>
      <w:r>
        <w:br/>
      </w:r>
      <w:r>
        <w:br/>
        <w:t>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t>Przedsięwzięcia typu:</w:t>
      </w:r>
      <w:r>
        <w:br/>
        <w:t>•</w:t>
      </w:r>
      <w:r>
        <w:tab/>
        <w:t>infrastruktura rowerowa i piesza, w tym wsparcie systemów wypożyczeń rowerów, hulajnóg;</w:t>
      </w:r>
      <w:r>
        <w:br/>
        <w:t>•</w:t>
      </w:r>
      <w:r>
        <w:tab/>
        <w:t>ekologiczny i konkurencyjny transport publiczny w zakresie wsparcia infrastruktury ładowania lub tankowania pojazdów bezemisyjnych, infrastruktura paliw alternatywnych (transport publiczny oraz samochody prywatne) oraz</w:t>
      </w:r>
      <w:r>
        <w:br/>
        <w:t>•</w:t>
      </w:r>
      <w:r>
        <w:tab/>
        <w:t>infrastruktury niezbędnej do korzystania  z  komplementarnych form transportu w zakresie carsharingu opartego o pojazdy elektryczne</w:t>
      </w:r>
      <w:r>
        <w:br/>
        <w:t xml:space="preserve">finansowane są w formie instrumentów finansowych w postaci pożyczek inwestycyjnych, jako wsparcie pilotażowe. W projektach łączących IF z dotacją w formie rabatu kapitałowego, wysokość umorzenia zależy od wartości określonych wskaźników. W przypadku projektów realizowanych przez jednostki administracji publicznej, formą wsparcia będzie dotacja z uwagi na to, że realizowane przedsięwzięcia stanowią dobro publiczne. </w:t>
      </w:r>
      <w:r>
        <w:br/>
        <w:t>Grupę Ostatecznych Odbiorców IF stanowią w szczególności przedsiębiorcy i organizatorzy publicznego transportu  zbiorowego.</w:t>
      </w:r>
    </w:p>
    <w:p w14:paraId="10C2F6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2655E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25E2A8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3631F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0CCAD7E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CC87D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w:t>
      </w:r>
      <w:r>
        <w:lastRenderedPageBreak/>
        <w:t>Rozporządzenie Komisji (UE) nr 651/2014 z dnia 17 czerwca 2014 r. uznające niektóre rodzaje pomocy za zgodne z rynkiem wewnętrznym w zastosowaniu art. 107 i 108 Traktatu (Dz. Urz. UE L 187 z 26.06.2014, str. 1, z późn. zm.)</w:t>
      </w:r>
    </w:p>
    <w:p w14:paraId="128CEC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350CB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14:paraId="0D986BC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B6AF1E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40CF11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2DF02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2062D4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A8325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45043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64642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0079B9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8CC44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2F65EB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41915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15D9BD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F316A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wspierające biznes, Przedsiębiorstwa realizujące cele publiczne, Służby publiczne, Zintegrowane Inwestycje Terytorialne (ZIT)</w:t>
      </w:r>
    </w:p>
    <w:p w14:paraId="25BDEC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214D1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 Jednostki Samorządu Terytorialnego, Organizatorzy i operatorzy publicznego transportu zbiorowego, Zarządcy dróg publicznych, Zintegrowane Inwestycje Terytorialne (ZIT)</w:t>
      </w:r>
    </w:p>
    <w:p w14:paraId="73B949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650FCF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centrum_przesiadkowe, czysty_transport, instrument_finansowy, mobilność_miejska, park_and_ride, punkty_ładowania, rowery_miejskie, ścieżki_rowerowe, tabor_miejski, ZIT</w:t>
      </w:r>
    </w:p>
    <w:p w14:paraId="0C046E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Wielkość podmiotu (w przypadku przedsiębiorstw)</w:t>
      </w:r>
    </w:p>
    <w:p w14:paraId="2106C9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C6BE53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245935F" w14:textId="16EEEEC0"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18" w:history="1">
        <w:r w:rsidRPr="005B2474">
          <w:rPr>
            <w:rStyle w:val="Hipercze"/>
          </w:rPr>
          <w:t>https://funduszeuedlamazowsza.eu/uchwaly-km-fem/</w:t>
        </w:r>
      </w:hyperlink>
    </w:p>
    <w:p w14:paraId="7233914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F5955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612051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WLWK-PLRO093 - Liczba doposażonych obiektów „parkuj i jedź"</w:t>
      </w:r>
    </w:p>
    <w:p w14:paraId="2FDF9E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WLWK-PLRO094 - Liczba miejsc postojowych dla osób z niepełnosprawnościami w wybudowanych, przebudowanych lub doposażonych obiektach „parkuj i jedź”</w:t>
      </w:r>
    </w:p>
    <w:p w14:paraId="30BF5D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386FC60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330C29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WLWK-PLRO099 - Liczba przebudowanych i rozbudowanych zintegrowanych węzłów przesiadkowych</w:t>
      </w:r>
    </w:p>
    <w:p w14:paraId="749CEC6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WLWK-PLRO092 - Liczba przebudowanych obiektów „parkuj i jedź"</w:t>
      </w:r>
    </w:p>
    <w:p w14:paraId="4325BD5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WLWK-PLRO096 - Liczba stanowisk postojowych w wybudowanych obiektach „Bike&amp;Ride”</w:t>
      </w:r>
    </w:p>
    <w:p w14:paraId="19DD02E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WLWK-PLRO184 - Liczba wspartych publicznych systemów wypożyczania rowerów</w:t>
      </w:r>
    </w:p>
    <w:p w14:paraId="4EC430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WLWK-PLRO095 - Liczba wybudowanych obiektów „Bike&amp;Ride”</w:t>
      </w:r>
    </w:p>
    <w:p w14:paraId="57868D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WLWK-PLRO091 - Liczba wybudowanych obiektów „parkuj i jedź"</w:t>
      </w:r>
    </w:p>
    <w:p w14:paraId="5FE0D5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WLWK-PLRO098 - Liczba wybudowanych zintegrowanych węzłów przesiadkowych</w:t>
      </w:r>
    </w:p>
    <w:p w14:paraId="4F6D3C4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WLWK-PLRO088 - Liczba zakupionych jednostek taboru autobusowego w publicznym transporcie zbiorowym komunikacji miejskiej i metropolitarnej</w:t>
      </w:r>
    </w:p>
    <w:p w14:paraId="2CAEDA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4AFA43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WLWK-RCO060 - Miasta z nowymi lub zmodernizowanymi cyfrowymi systemami transportu miejskiego</w:t>
      </w:r>
    </w:p>
    <w:p w14:paraId="7E07B1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084233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6EB71F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242A4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1A1AD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WLWK-PLRR047 - Liczba ludności korzystającej z nowych lub zmodernizowanych cyfrowych systemów transportu miejskiego</w:t>
      </w:r>
    </w:p>
    <w:p w14:paraId="4284A0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WLWK-PLRR021 - Liczba pojazdów korzystających z miejsc postojowych w wybudowanych, przebudowanych lub doposażonych obiektach „parkuj i jedź”</w:t>
      </w:r>
    </w:p>
    <w:p w14:paraId="7500E11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WLWK-PLRR046 - Objętość paliwa wykorzystanego we wspartej infrastrukturze paliw alternatywnych</w:t>
      </w:r>
    </w:p>
    <w:p w14:paraId="3DC72E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WLWK-RCR064 - Roczna liczba użytkowników infrastruktury rowerowej</w:t>
      </w:r>
    </w:p>
    <w:p w14:paraId="1D4C0E8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WLWK-RCR062 - Roczna liczba użytkowników nowego lub zmodernizowanego transportu publicznego</w:t>
      </w:r>
    </w:p>
    <w:p w14:paraId="09D6BE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0E4E136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644AB140"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7" w:name="_Toc237347961"/>
      <w:r>
        <w:rPr>
          <w:rFonts w:ascii="Calibri" w:hAnsi="Calibri" w:cs="Calibri"/>
          <w:i w:val="0"/>
          <w:sz w:val="32"/>
        </w:rPr>
        <w:t>Priorytet FEMA.04 Fundusze Europejskie dla lepiej połączonego i dostępnego Mazowsza</w:t>
      </w:r>
      <w:bookmarkEnd w:id="17"/>
    </w:p>
    <w:p w14:paraId="207EE0D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3E850E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1177B5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386F48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202F1B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4A4618E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CP3 - Lepiej połączona Europa dzięki zwiększeniu mobilności</w:t>
      </w:r>
    </w:p>
    <w:p w14:paraId="7E35902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67E84A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55833B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267E6A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291 058 824,00</w:t>
      </w:r>
    </w:p>
    <w:p w14:paraId="5AC86A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559BF4E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232 000 000,00</w:t>
      </w:r>
    </w:p>
    <w:p w14:paraId="5B0E89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57B230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15,12</w:t>
      </w:r>
    </w:p>
    <w:p w14:paraId="69EC80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30F989C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84,88</w:t>
      </w:r>
    </w:p>
    <w:p w14:paraId="7027785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353FEA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018303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AFED478"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8" w:name="_Toc237347962"/>
      <w:r>
        <w:rPr>
          <w:rFonts w:ascii="Calibri" w:hAnsi="Calibri" w:cs="Calibri"/>
          <w:sz w:val="32"/>
        </w:rPr>
        <w:t>Działanie FEMA.04.01 Transport regionalny i lokalny</w:t>
      </w:r>
      <w:bookmarkEnd w:id="18"/>
    </w:p>
    <w:p w14:paraId="4D29F0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D0820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EFRR/FS.CP3.II - Rozwój i udoskonalanie zrównoważonej, odpornej na zmiany klimatu, inteligentnej i intermodalnej mobilności na poziomie krajowym, regionalnym i lokalnym, w tym poprawę dostępu do TEN-T oraz mobilności transgranicznej</w:t>
      </w:r>
    </w:p>
    <w:p w14:paraId="1BDC25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67A25B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AAD46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47C26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291 058 824,00</w:t>
      </w:r>
    </w:p>
    <w:p w14:paraId="69EEE7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D27C4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232 000 000,00</w:t>
      </w:r>
    </w:p>
    <w:p w14:paraId="49B0E9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2EA82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077 - Działania mające na celu poprawę jakości powietrza i ograniczenie hałasu, 090 - Nowo wybudowane lub rozbudowane inne krajowe, regionalne i lokalne drogi dojazdowe, 093 - Inne drogi przebudowane lub zmodernizowane (autostrady, drogi krajowe, regionalne lub lokalne), 098 - Inne nowo wybudowane lub rozbudowane linie kolejowe, 107 - Bezemisyjny / zasilany energią elektryczną tabor kolejowy</w:t>
      </w:r>
    </w:p>
    <w:p w14:paraId="198A1C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27E01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 Budowa i przebudowa dróg wojewódzkich, poprawiających dostępność do sieci TEN-T, obwodnic odciążających miasta od ruchu samochodowego, w szczególności tranzytowego, w tym inwestycje na rzecz poprawy bezpieczeństwa na tych drogach,</w:t>
      </w:r>
      <w:r>
        <w:br/>
        <w:t xml:space="preserve">2. Budowa i przebudowa dróg powiatowych i gminnych. </w:t>
      </w:r>
      <w:r>
        <w:br/>
        <w:t>3. Budowa, przebudowa, modernizacja linii kolejowych,</w:t>
      </w:r>
      <w:r>
        <w:br/>
        <w:t>4. Tabor kolejowy – zakup lub modernizacja,</w:t>
      </w:r>
      <w:r>
        <w:br/>
        <w:t>Wsparciem objęte będę m.in. poniższe projekty:</w:t>
      </w:r>
      <w:r>
        <w:br/>
        <w:t>1. Budowa zachodniej obwodnicy Mławy – odcinek między ulicą Gdyńską a nowoprojektowaną drogą krajową S7.</w:t>
      </w:r>
      <w:r>
        <w:br/>
        <w:t>2. Budowa drogi wojewódzkiej nr 627 na odcinku Kosów Lacki – Sokołów Podlaski.</w:t>
      </w:r>
      <w:r>
        <w:br/>
        <w:t>3. Rozbudowa drogi wojewódzkiej nr 634 na odcinku od km 22+055 do km 26+831.</w:t>
      </w:r>
      <w:r>
        <w:br/>
        <w:t>4. Budowa odcinka linii kolejowej od stacji Modlin do Mazowieckiego Portu Lotniczego (MPL) Warszawa/Modlin oraz budowa stacji kolejowej Mazowiecki Port Lotniczy (MPL) Warszawa/Modlin.</w:t>
      </w:r>
      <w:r>
        <w:br/>
        <w:t>5. Zakup 15 sztuk pojazdów kolejowych.</w:t>
      </w:r>
      <w:r>
        <w:br/>
        <w:t xml:space="preserve">6. Zakup 14 sztuk pojazdów kolejowych II. </w:t>
      </w:r>
      <w:r>
        <w:br/>
        <w:t xml:space="preserve">W odniesieniu do przedsięwzięć wspieranych w ramach ww. działań zastosowanie będą mieć następujące zasady: </w:t>
      </w:r>
      <w:r>
        <w:br/>
        <w:t xml:space="preserve">Wszystkie inwestycje w ramach celu szczegółowego muszą wynikać z Regionalnego Planu Transportowego lub odpowiedniego dokumentu planowania transportu na poziomie lokalnym. W </w:t>
      </w:r>
      <w:r>
        <w:lastRenderedPageBreak/>
        <w:t xml:space="preserve">przypadku inwestycji realizowanych na obszarach miejskich, inwestycje te będą musiały być spójne z właściwymi Planami Zrównoważonej Mobilności Miejskiej, a jeśli nie są one wymagane – z innymi właściwymi dokumentami planowania mobilności miejskiej. </w:t>
      </w:r>
      <w:r>
        <w:br/>
        <w:t>Wsparcie będą mogły otrzymać  drogi wojewódzkie, powiatowe, gminne. W przypadku dróg lokalnych (powiatowych i gminnych), interwencja będzie ograniczona tylko do tzw. inwestycji o charakterze dostępowym.</w:t>
      </w:r>
      <w:r>
        <w:br/>
        <w:t xml:space="preserve">Inwestycje będą ukierunkowane na: </w:t>
      </w:r>
      <w:r>
        <w:br/>
        <w:t>•</w:t>
      </w:r>
      <w:r>
        <w:tab/>
        <w:t>budowę obwodnic i wyprowadzanie ruchu drogowego poza miasta,</w:t>
      </w:r>
      <w:r>
        <w:br/>
        <w:t>•</w:t>
      </w:r>
      <w:r>
        <w:tab/>
        <w:t>uspokajanie ruchu wewnątrz miast,</w:t>
      </w:r>
      <w:r>
        <w:br/>
        <w:t>•</w:t>
      </w:r>
      <w:r>
        <w:tab/>
        <w:t xml:space="preserve">niezbędne połączenia do sieci TEN-T, </w:t>
      </w:r>
      <w:r>
        <w:br/>
        <w:t>•</w:t>
      </w:r>
      <w:r>
        <w:tab/>
        <w:t xml:space="preserve">budowę dróg prowadzących do miejsc inwestycyjnych, </w:t>
      </w:r>
      <w:r>
        <w:br/>
        <w:t>•</w:t>
      </w:r>
      <w:r>
        <w:tab/>
        <w:t xml:space="preserve">budowę dróg prowadzących do terminali intermodalnych/centrów logistycznych, </w:t>
      </w:r>
      <w:r>
        <w:br/>
        <w:t>•</w:t>
      </w:r>
      <w:r>
        <w:tab/>
        <w:t xml:space="preserve">budowę dróg prowadzących do węzłów transportowych, </w:t>
      </w:r>
      <w:r>
        <w:br/>
        <w:t>•</w:t>
      </w:r>
      <w:r>
        <w:tab/>
        <w:t>budowę dróg prowadzących do przejść granicznych,</w:t>
      </w:r>
      <w:r>
        <w:br/>
        <w:t>•</w:t>
      </w:r>
      <w:r>
        <w:tab/>
        <w:t>rozwój publicznego transportu zbiorowego.</w:t>
      </w:r>
      <w:r>
        <w:br/>
        <w:t>Drogi będą dostosowane do nacisku 11,5 tony/oś (115 kN/oś).</w:t>
      </w:r>
      <w:r>
        <w:br/>
        <w:t>Z zastrzeżeniem obwodnic i obiektów P+R, inwestycje drogowe realizowane na obszarach miast nie będą obejmowały budowy nowych, ani zwiększenia pojemności lub przepustowości istniejących dróg lub parkingów i nie będą przyczyniały się do zwiększenia natężenia ruchu samochodowego w obszarach miejskich.</w:t>
      </w:r>
      <w:r>
        <w:br/>
        <w:t>Tam, gdzie jest to technicznie możliwe, realizowane projekty w zakresie infrastruktury drogowej będą obejmowały zapewnienie retencji i podczyszczania wód opadowych poprzez wykorzystanie zielonej i niebieskiej infrastruktury oraz rozwiązań opartych na przyrodzie.</w:t>
      </w:r>
      <w:r>
        <w:br/>
        <w:t xml:space="preserve">W celu integracji transportu indywidualnego ze zbiorowym rozwijany będzie system parkingów P&amp;R z dala od centrów miast. </w:t>
      </w:r>
      <w:r>
        <w:br/>
        <w:t>W celu poprawy bezpieczeństwa dla niezmotoryzowanych uczestników ruchu drogowego planuje się wspierać budowę ciągów pieszo-rowerowych wzdłuż dróg oraz uzupełniać braki w infrastrukturze. Wsparcie obejmie również budowę dróg rowerowych stanowiących np. łączność pierwszej/ostatniej mili ze stacjami/przystankami kolejowymi na terenach wiejskich.</w:t>
      </w:r>
      <w:r>
        <w:br/>
        <w:t>Inwestycje w ścieżki rowerowe będą zgodne ze „ Standardami infrastruktury rowerowej i koncepcją tras rowerowych wskazanych do realizacji w perspektywie do 2030 roku w województwie mazowieckim” przyjętych  Uchwałą 1100/333/22 Zarządu Województwa Mazowieckiego z dnia 28 czerwca 2022 r.</w:t>
      </w:r>
      <w:r>
        <w:br/>
        <w:t>Finansowaniem podlegać będą również działania związane z rozwojem transportu kolejowego poza siecią TEN-T poprzez inwestycje w linie kolejowe (budowę, przebudowę, modernizację oraz remont) poprawiające spójność komunikacyjną oraz ograniczające wykluczenie komunikacyjne. Jako element uzupełniający możliwe będzie finansowanie infrastruktury towarzyszącej (np. perony i przystanki kolejowe) służącej do obsługi ruchu pasażerskiego.</w:t>
      </w:r>
      <w:r>
        <w:br/>
        <w:t xml:space="preserve">Wsparciem w ramach programu będzie objęty zakup bezemisyjnego taboru kolejowego wykorzystywanego do przewozów pasażerskich o charakterze użyteczności publicznej, wykonywanych przez operatorów wyłonionych zgodnie z prawem UE (w tym tzw. czwartym pakietem kolejowym). W przypadku umów zawartych po grudniu 2020 r. dofinansowanie będzie dotyczyć zasadniczo operatorów wybranych w procedurze przetargowej w rozumieniu Rozporządzenia 1370/2007, z zastrzeżeniem </w:t>
      </w:r>
      <w:r>
        <w:lastRenderedPageBreak/>
        <w:t>wyjątków wskazanych w tym rozporządzeniu. Realizowane będą te projekty, w których nastąpi pełne rozliczenie korzyści wynikającej z dofinansowania inwestycji taborowej. Stosowane będą w tym względzie rozwiązania już uzgodnione z KE. Między innymi możliwe będzie przejęcie taboru przez organizatora po cenie rynkowej pomniejszonej o otrzymane przez operatora wsparcie (pomoc publiczną) bądź udostępnienie taboru innym uczestnikom rynku na niedyskryminujących warunkach. Nowo zakupiony tabor będzie wyposażony w ERTMS.</w:t>
      </w:r>
      <w:r>
        <w:br/>
      </w:r>
      <w:r>
        <w:br/>
        <w:t xml:space="preserve">Preferencje punktowe mogą być stosowane w projektach: </w:t>
      </w:r>
      <w:r>
        <w:br/>
        <w:t>• skierowanych na obszary strategicznej interwencji (OSI) wyznaczone w KSRR i wynikające z SR WM 2030+, tj. miast średnich tracących funkcje społeczno-gospodarcze oraz gmin zagrożonych trwałą marginalizacją,</w:t>
      </w:r>
      <w:r>
        <w:br/>
        <w:t>• realizowanych w ramach MSIT lub wynikające z GPR,</w:t>
      </w:r>
      <w:r>
        <w:br/>
        <w:t xml:space="preserve">• uczestników i podmiotów zaangażowanych we współpracę międzyregionalną lub międzynarodową. </w:t>
      </w:r>
      <w:r>
        <w:br/>
      </w:r>
      <w:r>
        <w:br/>
        <w:t>Dofinansowane projekty będą zgodne z art. 9 rozporządzenia 2021/1060, tj.:</w:t>
      </w:r>
      <w:r>
        <w:br/>
        <w:t>• przepisami Karty Praw Podstawowych i Konwencji o prawach osób niepełnosprawnych</w:t>
      </w:r>
      <w:r>
        <w:br/>
        <w:t xml:space="preserve">• zasadą równości szans i niedyskryminacji, w tym dostępności osób z niepełnosprawnościami </w:t>
      </w:r>
      <w:r>
        <w:br/>
        <w:t>• zasadą równości kobiet i mężczyzn</w:t>
      </w:r>
      <w:r>
        <w:br/>
        <w:t>• zasadą zrównoważonego rozwoju oraz zasadą nie czyń poważnych szkód (DNSH).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tab/>
      </w:r>
      <w:r>
        <w:br/>
        <w:t>• w regionie Mazowieckim regionalnym – 85%,</w:t>
      </w:r>
      <w:r>
        <w:br/>
        <w:t>• w regionie Warszawskim stołecznym – 50%.</w:t>
      </w:r>
    </w:p>
    <w:p w14:paraId="170814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C0DDE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B2E1F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36D50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3C5FA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D2C88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w:t>
      </w:r>
      <w:r>
        <w:lastRenderedPageBreak/>
        <w:t>Rozporządzenie Komisji (UE) 2023/2831 z dnia 13 grudnia 2023 r. w sprawie stosowania art. 107 i 108 Traktatu o funkcjonowaniu Unii Europejskiej do pomocy de minimis (Dz. Urz. UE L z 15.12.2023)</w:t>
      </w:r>
    </w:p>
    <w:p w14:paraId="408C789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7FAB93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18A0E2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F27C32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637796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DE7B19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C94AD3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EC7172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6CF7D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1206E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54339C2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AFAF9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6944C3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E0857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1184F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CBC4D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realizujące cele publiczne, Służby publiczne</w:t>
      </w:r>
    </w:p>
    <w:p w14:paraId="6EF1BE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B1613C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Organizatorzy i operatorzy publicznego transportu zbiorowego, Przedsiębiorstwa kolejowych przewozów pasażerskich, Zarządcy dróg publicznych, Zarządcy infrastruktury kolejowej</w:t>
      </w:r>
    </w:p>
    <w:p w14:paraId="2901A5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F3F30F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autobusy_niskoemisyjne, drogi, drogi_wojewódzkie, ERTMS, infrastruktura, linie_kolejowe, obwodnice, punkty_ładowania, ścieżki_rowerowe, tabor_niskoemisyjny</w:t>
      </w:r>
    </w:p>
    <w:p w14:paraId="7645C1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6D1B5D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DE0BE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20AF45B" w14:textId="7EEDCD77"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19" w:history="1">
        <w:r w:rsidRPr="005B2474">
          <w:rPr>
            <w:rStyle w:val="Hipercze"/>
          </w:rPr>
          <w:t>https://funduszeuedlamazowsza.eu/uchwaly-km-fem/</w:t>
        </w:r>
      </w:hyperlink>
    </w:p>
    <w:p w14:paraId="394D0C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BEEAC0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WLWK-RCO111 - Długość czynnych linii kolejowych wyposażonych w europejski system zarządzania ruchem – poza TEN-T</w:t>
      </w:r>
    </w:p>
    <w:p w14:paraId="6E49EAD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WLWK-RCO110 - Długość dróg z nowymi lub zmodernizowanymi systemami zarządzania ruchem – poza TEN-T</w:t>
      </w:r>
    </w:p>
    <w:p w14:paraId="24C4498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WLWK-RCO048 - Długość nowych lub rozbudowanych linii kolejowych – poza TEN-T</w:t>
      </w:r>
    </w:p>
    <w:p w14:paraId="194666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WLWK-PLRO107 - Długość wybudowanych dróg gminnych</w:t>
      </w:r>
    </w:p>
    <w:p w14:paraId="3CCEE3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WLWK-PLRO106 - Długość wybudowanych dróg powiatowych</w:t>
      </w:r>
    </w:p>
    <w:p w14:paraId="680C9F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WLWK-PLRO105 - Długość wybudowanych dróg wojewódzkich</w:t>
      </w:r>
    </w:p>
    <w:p w14:paraId="473E76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WLWK-PLRO111 - Długość zmodernizowanych lub przebudowanych dróg gminnych</w:t>
      </w:r>
    </w:p>
    <w:p w14:paraId="4247E4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WLWK-PLRO110 - Długość zmodernizowanych lub przebudowanych dróg powiatowych</w:t>
      </w:r>
    </w:p>
    <w:p w14:paraId="5B225C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WLWK-PLRO109 - Długość zmodernizowanych lub przebudowanych dróg wojewódzkich</w:t>
      </w:r>
    </w:p>
    <w:p w14:paraId="503054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692D412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WLWK-PLRO207 - Liczba nowych lub zmodernizowanych stacji lub przystanków kolejowych z wyłączeniem dworców kolejowych </w:t>
      </w:r>
    </w:p>
    <w:p w14:paraId="082A04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4EE998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729D67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WLWK-PLRO190 - Liczba przejazdów kolejowych, na których poprawiono bezpieczeństwo</w:t>
      </w:r>
    </w:p>
    <w:p w14:paraId="1B9040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WLWK-PLRO120 - Liczba wybudowanych obwodnic</w:t>
      </w:r>
    </w:p>
    <w:p w14:paraId="080828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WLWK-PLRO113 - Liczba zakupionych jednostek kolejowego taboru pasażerskiego</w:t>
      </w:r>
    </w:p>
    <w:p w14:paraId="3C12FF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WLWK-PLRO112 - Liczba zakupionych jednostek taboru pasażerskiego w publicznym transporcie zbiorowym komunikacji pozamiejskiej</w:t>
      </w:r>
    </w:p>
    <w:p w14:paraId="3FECD4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WLWK-PLRO114 - Liczba zmodernizowanych jednostek kolejowego taboru pasażerskiego</w:t>
      </w:r>
    </w:p>
    <w:p w14:paraId="7BA53C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WLWK-RCO054 - Nowe lub zmodernizowane połączenia intermodalne</w:t>
      </w:r>
    </w:p>
    <w:p w14:paraId="0D19DC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WLWK-RCO053 - Nowe lub zmodernizowane stacje i przystanki kolejowe</w:t>
      </w:r>
    </w:p>
    <w:p w14:paraId="3422D5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375E77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WLWK-PLRO115 - Pojemność zakupionego taboru pasażerskiego w publicznym transporcie zbiorowym komunikacji pozamiejskiej</w:t>
      </w:r>
    </w:p>
    <w:p w14:paraId="3E161D0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WLWK-PLRO116 - Pojemność zakupionych jednostek taboru kolejowego</w:t>
      </w:r>
    </w:p>
    <w:p w14:paraId="716555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WLWK-PLRO117 - Pojemność zmodernizowanych jednostek taboru kolejowego</w:t>
      </w:r>
    </w:p>
    <w:p w14:paraId="579326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434674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rezultatu</w:t>
      </w:r>
    </w:p>
    <w:p w14:paraId="00FF97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WLWK-PLRR022 - Liczba osób korzystających z zakupionego lub zmodernizowanego kolejowego taboru pasażerskiego w ciągu roku</w:t>
      </w:r>
    </w:p>
    <w:p w14:paraId="68635A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WLWK-RCR055 - Roczna liczba użytkowników nowo wybudowanych, przebudowanych, rozbudowanych lub zmodernizowanych dróg</w:t>
      </w:r>
    </w:p>
    <w:p w14:paraId="46947E6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WLWK-RCR058 - Roczna liczba użytkowników nowo wybudowanych, rozbudowanych, przebudowanych lub zmodernizowanych linii kolejowych</w:t>
      </w:r>
    </w:p>
    <w:p w14:paraId="49C306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59D55E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698E0335"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9" w:name="_Toc237347963"/>
      <w:r>
        <w:rPr>
          <w:rFonts w:ascii="Calibri" w:hAnsi="Calibri" w:cs="Calibri"/>
          <w:i w:val="0"/>
          <w:sz w:val="32"/>
        </w:rPr>
        <w:t>Priorytet FEMA.05 Fundusze Europejskie dla wyższej jakości życia na Mazowszu</w:t>
      </w:r>
      <w:bookmarkEnd w:id="19"/>
    </w:p>
    <w:p w14:paraId="081E04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29C09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37183B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37B4E2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3172F2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21C610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467A5FC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5FB8AE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4B079B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7DDA08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277 235 295,00</w:t>
      </w:r>
    </w:p>
    <w:p w14:paraId="30817A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725523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200 650 000,00</w:t>
      </w:r>
    </w:p>
    <w:p w14:paraId="47464DF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6F298D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36,07</w:t>
      </w:r>
    </w:p>
    <w:p w14:paraId="28186F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4C7872C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63,93</w:t>
      </w:r>
    </w:p>
    <w:p w14:paraId="43D935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7EE598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490752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8EBB3E0"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0" w:name="_Toc237347964"/>
      <w:r>
        <w:rPr>
          <w:rFonts w:ascii="Calibri" w:hAnsi="Calibri" w:cs="Calibri"/>
          <w:sz w:val="32"/>
        </w:rPr>
        <w:t>Działanie FEMA.05.01 Dostępność szkół dla osób ze specjalnymi potrzebami</w:t>
      </w:r>
      <w:bookmarkEnd w:id="20"/>
    </w:p>
    <w:p w14:paraId="456062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DB1B4A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456D61E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051F44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315DA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86B76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17 529 412,00</w:t>
      </w:r>
    </w:p>
    <w:p w14:paraId="7DACFF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0CC57F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14 900 000,00</w:t>
      </w:r>
    </w:p>
    <w:p w14:paraId="6A5865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C34B2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122 - Infrastruktura na potrzeby szkolnictwa podstawowego i średniego</w:t>
      </w:r>
    </w:p>
    <w:p w14:paraId="6CA1F7D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CAF11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Dostosowanie szkół ogólnodostępnych do potrzeb osób ze specjalnymi potrzebami edukacyjnymi (z wyłączeniem edukacji przedszkolnej)</w:t>
      </w:r>
      <w:r>
        <w:br/>
        <w:t xml:space="preserve">Wsparciem objęte będą projekty mające na celu: </w:t>
      </w:r>
      <w:r>
        <w:br/>
        <w:t>Poprawę dostępności szkół prowadzących kształcenie ogólne do potrzeb uczniów ze specjalnymi potrzebami edukacyjnymi (SPE), która umożliwi im uczestnictwo w edukacji ogólnodostępnej, uwzględniającej zróżnicowanie ich potrzeb edukacyjnych i rozwojowych.</w:t>
      </w:r>
      <w:r>
        <w:br/>
        <w:t>W odniesieniu do przedsięwzięć wspieranych w ramach ww. działań zastosowanie będą mieć następujące zasady:</w:t>
      </w:r>
      <w:r>
        <w:br/>
        <w:t>1)</w:t>
      </w:r>
      <w:r>
        <w:tab/>
        <w:t xml:space="preserve">W celu poprawy dostępności szkół do potrzeb osób ze SPE planuje się wykorzystanie wypracowanego w POWER 2014-2020 modelu „Dostępna szkoła”, na podstawie którego szkoły i placówki oświatowe, w ramach EFRR, będą mogły wdrożyć standard dostępności architektonicznej, w zakresie przygotowania infrastruktury pod kątem dostępności dla uczniów, nauczycieli, rodziców i członków społeczności lokalnej ze SPE oraz dostępności poszczególnych pomieszczeń i ich wyposażenia.  </w:t>
      </w:r>
      <w:r>
        <w:br/>
        <w:t>2)</w:t>
      </w:r>
      <w:r>
        <w:tab/>
        <w:t xml:space="preserve">Zaplanowana interwencja będzie komplementarna z działaniami realizowanymi w KPO w </w:t>
      </w:r>
      <w:r>
        <w:lastRenderedPageBreak/>
        <w:t>obszarze Transformacja cyfrowa, w zakresie wyposażenia szkół/instytucji w odpowiednie urządzenia i infrastrukturę ICT oraz z programem FERS w zakresie działań zaplanowanych w obszarze edukacji włączającej oraz z działaniami zaplanowanymi w FEM 2021-2027 z EFS+ w ramach działań związanych z wdrażaniem edukacji włączającej.</w:t>
      </w:r>
      <w:r>
        <w:br/>
        <w:t>3)</w:t>
      </w:r>
      <w:r>
        <w:tab/>
        <w:t xml:space="preserve">Wszystkie działania będące przedmiotem interwencji będą zgodne z wymogami Konwencji ONZ o Prawach Osób Niepełnosprawnych, w tym Komentarzami Ogólnymi 4 i 6 oraz uwagami końcowymi dla Polski Komitetu ONZ ds. Praw Osób Niepełnosprawnych, z należytym poszanowaniem zasad równości, wolności wyboru, prawa do niezależnego życia, dostępności i zakazu wszelkich form segregacji. </w:t>
      </w:r>
      <w:r>
        <w:br/>
        <w:t>4)</w:t>
      </w:r>
      <w:r>
        <w:tab/>
        <w:t xml:space="preserve">Inwestycje będą musiały wykazać zgodność z polityką UE i ramami prawnymi w zakresie przestrzegania praw człowieka, a mianowicie Kartą Praw Podstawowych, EFPS i Strategią na rzecz praw osób niepełnosprawnych 2021-2030. </w:t>
      </w:r>
      <w:r>
        <w:br/>
        <w:t>5)</w:t>
      </w:r>
      <w:r>
        <w:tab/>
        <w:t>Szkoły specjalne i inne placówki edukacyjne, które prowadzą do segregacji lub utrzymania segregacji jakiejkolwiek grupy defaworyzowanej i/lub zagrożonej wykluczeniem społecznym, nie będą wspierane.</w:t>
      </w:r>
      <w:r>
        <w:br/>
        <w:t>6)</w:t>
      </w:r>
      <w:r>
        <w:tab/>
        <w:t>Projekty realizowane będą zgodnie z:</w:t>
      </w:r>
      <w:r>
        <w:br/>
        <w:t>1. Rozporządzeniem:</w:t>
      </w:r>
      <w:r>
        <w:br/>
        <w:t>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 w tym z art. 9 w zakresie:</w:t>
      </w:r>
      <w:r>
        <w:br/>
        <w:t>• Karty Praw Podstawowych i Konwencji o prawach osób niepełnosprawnych</w:t>
      </w:r>
      <w:r>
        <w:br/>
        <w:t>• zasady równości szans i niedyskryminacji, w tym dostępności osób z niepełnosprawnościami</w:t>
      </w:r>
      <w:r>
        <w:br/>
        <w:t>• zasady równości kobiet i mężczyzn</w:t>
      </w:r>
      <w:r>
        <w:br/>
        <w:t>• zasady zrównoważonego rozwoju oraz zasady nie czyń poważnych szkód (DNSH).</w:t>
      </w:r>
      <w:r>
        <w:br/>
        <w:t xml:space="preserve">b)  PARLAMENTU EUROPEJSKIEGO I RADY (UE) 2021/1058 </w:t>
      </w:r>
      <w:r>
        <w:br/>
        <w:t xml:space="preserve">z dnia 24 czerwca 2021 r. w sprawie Europejskiego Funduszu Rozwoju Regionalnego i Funduszu Spójności </w:t>
      </w:r>
      <w:r>
        <w:br/>
        <w:t>2. Ustawą:</w:t>
      </w:r>
      <w:r>
        <w:br/>
        <w:t>a) z dnia 28 kwietnia 2022 r. o zasadach realizacji zadań finansowanych ze środków europejskich w perspektywie finansowej 2021–2027 ze zm.</w:t>
      </w:r>
      <w:r>
        <w:br/>
        <w:t>b) Prawo oświatowe z 14 grudnia 2016 r. z późn. zm.</w:t>
      </w:r>
      <w:r>
        <w:br/>
        <w:t>3. Wytycznymi:</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 xml:space="preserve">d) dotyczącymi wyboru projektów na lata 2021-2027 </w:t>
      </w:r>
      <w:r>
        <w:br/>
        <w:t>e) dotyczącymi informacji i promocji Funduszy Europejskich na lata 2021-2027</w:t>
      </w:r>
      <w:r>
        <w:br/>
        <w:t>Kwalifikowalne do dofinansowania będą działania związane z:</w:t>
      </w:r>
      <w:r>
        <w:br/>
        <w:t xml:space="preserve">1) przebudową, rozbudową, nadbudową lub adaptacją istniejącej infrastruktury dydaktycznej, w tym sal gimnastycznych (o ile wynika to z analizy potrzeb, jest powiązane z celami EFS+ i wspiera rozwój działań </w:t>
      </w:r>
      <w:r>
        <w:lastRenderedPageBreak/>
        <w:t>integracyjnych, włączających, w ramach walki z wykluczeniem społecznym) służącą zwiększeniu jej dostępności dla uczniów ze SPE, w tym także w zakresie wyposażenia (jako niezbędny i uzupełniający element projektu);</w:t>
      </w:r>
      <w:r>
        <w:br/>
        <w:t>2) budową nowej, dostępnej dla uczniów ze SPE infrastruktury, jedynie wyjątkowo i w uzasadnionych przypadkach, kiedy nie będzie możliwości adaptacji lub modernizacji istniejącej lub kiedy byłoby to nieefektywne kosztowo.</w:t>
      </w:r>
      <w:r>
        <w:br/>
        <w:t>Preferowane mogą być projekty:</w:t>
      </w:r>
      <w:r>
        <w:br/>
        <w:t>1)</w:t>
      </w:r>
      <w:r>
        <w:tab/>
        <w:t xml:space="preserve">zapewniające komplementarność do Działania 7.2 realizowanego z EFS+ na wzór modelu "Dostępna szkoła" w zakresie wdrożenia standardu dostępności edukacyjno-społecznej, który pozwoli na uzupełnienie działań infrastrukturalnych działaniami z obszaru podnoszenia kwalifikacji i kompetencji, edukacji i wychowania czy rozwiązań organizacyjnych </w:t>
      </w:r>
      <w:r>
        <w:br/>
        <w:t>2)</w:t>
      </w:r>
      <w:r>
        <w:tab/>
        <w:t>składane przez organy prowadzące szkoły nieposiadające oddziałów integracyjnych lub leżące w powiatach, na terenie których nie ma szkół z oddziałami integracyjnymi</w:t>
      </w:r>
      <w:r>
        <w:br/>
        <w:t>3)</w:t>
      </w:r>
      <w:r>
        <w:tab/>
        <w:t xml:space="preserve"> skierowane na obszary strategicznej interwencji (OSI) wyznaczone w KSRR i wynikające z SR WM 2030+, tj. miast średnich tracących funkcje społeczno-gospodarcze oraz gmin zagrożonych trwałą marginalizacją</w:t>
      </w:r>
      <w:r>
        <w:br/>
        <w:t>4)</w:t>
      </w:r>
      <w:r>
        <w:tab/>
        <w:t>realizowane w ramach MSIT lub wynikające z GPR</w:t>
      </w:r>
      <w:r>
        <w:br/>
        <w:t>5)</w:t>
      </w:r>
      <w:r>
        <w:tab/>
        <w:t xml:space="preserve">uwzględniające komponent ponadnarodowy. </w:t>
      </w:r>
    </w:p>
    <w:p w14:paraId="032F423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70B63C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AFF036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431CBC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56255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88907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6BEDBB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A2C05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25D189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2993C6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7BB00D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BF42A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11F25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cross-financing (%)</w:t>
      </w:r>
    </w:p>
    <w:p w14:paraId="32FFDE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1D03EA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3A40D1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wskazania w regulaminie naboru</w:t>
      </w:r>
    </w:p>
    <w:p w14:paraId="63A5D4E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BE5CA8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996AB3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433AD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D8E5B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95400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w:t>
      </w:r>
    </w:p>
    <w:p w14:paraId="66AEFE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626577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Szkoły i inne placówki systemu oświaty</w:t>
      </w:r>
    </w:p>
    <w:p w14:paraId="69B563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EB377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dostępność, edukacja_włączająca, infrastruktura_edukacji_ogólnej</w:t>
      </w:r>
    </w:p>
    <w:p w14:paraId="75ED16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39782D0" w14:textId="3162DFAD"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20" w:history="1">
        <w:r w:rsidRPr="005B2474">
          <w:rPr>
            <w:rStyle w:val="Hipercze"/>
          </w:rPr>
          <w:t>https://funduszeuedlamazowsza.eu/uchwaly-km-fem/</w:t>
        </w:r>
      </w:hyperlink>
    </w:p>
    <w:p w14:paraId="068221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93DD8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64A143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19B75EB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2AB8A1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0820B5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69D2AA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1F344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7CA7E5E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502AC1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35D9AC1"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1" w:name="_Toc237347965"/>
      <w:r>
        <w:rPr>
          <w:rFonts w:ascii="Calibri" w:hAnsi="Calibri" w:cs="Calibri"/>
          <w:sz w:val="32"/>
        </w:rPr>
        <w:lastRenderedPageBreak/>
        <w:t>Działanie FEMA.05.02 Dostępność szkół dla osób ze specjalnymi potrzebami w ZIT</w:t>
      </w:r>
      <w:bookmarkEnd w:id="21"/>
    </w:p>
    <w:p w14:paraId="09069DC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DE0AA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0EF7C39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2181C9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20E0D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701A3B8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13 000 000,00</w:t>
      </w:r>
    </w:p>
    <w:p w14:paraId="396B49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3E2E9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6 500 000,00</w:t>
      </w:r>
    </w:p>
    <w:p w14:paraId="131E65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02CAB3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122 - Infrastruktura na potrzeby szkolnictwa podstawowego i średniego</w:t>
      </w:r>
    </w:p>
    <w:p w14:paraId="1CB1813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0B747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 xml:space="preserve">Dostosowanie szkół ogólnodostępnych do potrzeb osób ze specjalnymi </w:t>
      </w:r>
      <w:r>
        <w:br/>
        <w:t>potrzebami edukacyjnymi (z wyłączeniem edukacji przedszkolnej)</w:t>
      </w:r>
      <w:r>
        <w:br/>
        <w:t xml:space="preserve">Wsparciem objęte będą projekty mające na celu: </w:t>
      </w:r>
      <w:r>
        <w:br/>
        <w:t>Poprawę dostępności szkół prowadzących kształcenie ogólne do potrzeb</w:t>
      </w:r>
      <w:r>
        <w:br/>
        <w:t>uczniów ze specjalnymi potrzebami edukacyjnymi (SPE), która umożliwi im uczestnictwo w edukacji ogólnodostępnej, uwzględniającej zróżnicowanie ich potrzeb edukacyjnych i rozwojowych. Wspierane projekty muszą wynikać ze strategii ZIT.</w:t>
      </w:r>
      <w:r>
        <w:br/>
        <w:t>W odniesieniu do przedsięwzięć wspieranych w ramach ww. działań zastosowanie będą mieć następujące zasady:</w:t>
      </w:r>
      <w:r>
        <w:br/>
        <w:t>1)</w:t>
      </w:r>
      <w:r>
        <w:tab/>
        <w:t xml:space="preserve">W celu poprawy dostępności szkół do potrzeb osób ze SPE planuje się wykorzystanie wypracowanego w POWER 2014-2020 modelu „Dostępna szkoła”, na podstawie którego szkoły i placówki oświatowe, w ramach EFRR, będą mogły wdrożyć standard dostępności architektonicznej, w zakresie przygotowania infrastruktury pod katem dostępności dla uczniów, nauczycieli, rodziców i członków społeczności lokalnej ze SPE oraz dostępności poszczególnych pomieszczeń i ich wyposażenia. </w:t>
      </w:r>
      <w:r>
        <w:br/>
        <w:t>2)</w:t>
      </w:r>
      <w:r>
        <w:tab/>
        <w:t xml:space="preserve">Zaplanowana interwencja będzie komplementarna z działaniami realizowanymi w KPO w obszarze Transformacja cyfrowa, w zakresie wyposażenia szkół/instytucji w odpowiednie urządzenia i infrastrukturę ICT oraz z programem FERS w zakresie działań zaplanowanych w obszarze edukacji włączającej oraz z działaniami zaplanowanymi w FEM 2021-2027 z EFS+ w ramach działań związanych z </w:t>
      </w:r>
      <w:r>
        <w:lastRenderedPageBreak/>
        <w:t>wdrażaniem edukacji włączającej.</w:t>
      </w:r>
      <w:r>
        <w:br/>
        <w:t>3)</w:t>
      </w:r>
      <w:r>
        <w:tab/>
        <w:t xml:space="preserve">Wszystkie działania będące przedmiotem interwencji będą zgodne z wymogami Konwencji ONZ o Prawach Osób Niepełnosprawnych, w tym Komentarzami Ogólnymi 4 i 6 oraz uwagami końcowymi dla Polski Komitetu ONZ ds. Praw Osób Niepełnosprawnych, z należytym poszanowaniem zasad równości, wolności wyboru, prawa do niezależnego życia, dostępności i zakazu wszelkich form segregacji. </w:t>
      </w:r>
      <w:r>
        <w:br/>
        <w:t>4)</w:t>
      </w:r>
      <w:r>
        <w:tab/>
        <w:t xml:space="preserve">Inwestycje będą musiały wykazać zgodność z polityką UE i ramami prawnymi w zakresie przestrzegania praw człowieka, a mianowicie Kartą Praw Podstawowych, EFPS i Strategią na rzecz praw osób niepełnosprawnych 2021-2030. </w:t>
      </w:r>
      <w:r>
        <w:br/>
        <w:t>5)</w:t>
      </w:r>
      <w:r>
        <w:tab/>
        <w:t>Szkoły specjalne i inne placówki edukacyjne, które prowadzą do segregacji lub utrzymania segregacji jakiejkolwiek grupy defaworyzowanej i/lub zagrożonej wykluczeniem społecznym, nie będą wspierane.</w:t>
      </w:r>
      <w:r>
        <w:br/>
        <w:t>6)</w:t>
      </w:r>
      <w:r>
        <w:tab/>
        <w:t>Projekty realizowane będą zgodnie z:</w:t>
      </w:r>
      <w:r>
        <w:br/>
        <w:t>1. Rozporządzeniem:</w:t>
      </w:r>
      <w:r>
        <w:br/>
        <w:t>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 w tym z art. 9 w zakresie:</w:t>
      </w:r>
      <w:r>
        <w:br/>
        <w:t>• Karty Praw Podstawowych i Konwencji o prawach osób niepełnosprawnych</w:t>
      </w:r>
      <w:r>
        <w:br/>
        <w:t>• zasady równości szans i niedyskryminacji, w tym dostępności osób z niepełnosprawnościami</w:t>
      </w:r>
      <w:r>
        <w:br/>
        <w:t>• zasady równości kobiet i mężczyzn</w:t>
      </w:r>
      <w:r>
        <w:br/>
        <w:t>• zasady zrównoważonego rozwoju oraz zasady nie czyń poważnych szkód (DNSH).</w:t>
      </w:r>
      <w:r>
        <w:br/>
      </w:r>
      <w:r>
        <w:br/>
        <w:t xml:space="preserve">b)  PARLAMENTU EUROPEJSKIEGO I RADY (UE) 2021/1058 </w:t>
      </w:r>
      <w:r>
        <w:br/>
        <w:t xml:space="preserve">z dnia 24 czerwca 2021 r. w sprawie Europejskiego Funduszu Rozwoju Regionalnego i Funduszu Spójności </w:t>
      </w:r>
      <w:r>
        <w:br/>
      </w:r>
      <w:r>
        <w:br/>
        <w:t>2. Ustawą:</w:t>
      </w:r>
      <w:r>
        <w:br/>
        <w:t>a) z dnia 28 kwietnia 2022 r. o zasadach realizacji zadań finansowanych ze środków europejskich w perspektywie finansowej 2021–2027 ze zm.</w:t>
      </w:r>
      <w:r>
        <w:br/>
        <w:t>b) Prawo oświatowe z 14 grudnia 2016 r. z późn. Zmianami</w:t>
      </w:r>
      <w:r>
        <w:br/>
        <w:t>3. Wytycznymi:</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 xml:space="preserve">d) dotyczącymi wyboru projektów na lata 2021-2027 </w:t>
      </w:r>
      <w:r>
        <w:br/>
        <w:t>e) dotyczącymi informacji i promocji Funduszy Europejskich na lata 2021-2027</w:t>
      </w:r>
      <w:r>
        <w:br/>
        <w:t>Kwalifikowalne do dofinansowania będą działania związane z:</w:t>
      </w:r>
      <w:r>
        <w:br/>
        <w:t xml:space="preserve">1) przebudową, rozbudową, nadbudową lub adaptacją istniejącej infrastruktury dydaktycznej, w tym sal gimnastycznych (o ile wynika to z analizy potrzeb, jest powiązane z celami EFS+ i wspiera rozwój działań integracyjnych, włączających, w ramach walki z wykluczeniem społecznym) służącą zwiększeniu jej </w:t>
      </w:r>
      <w:r>
        <w:lastRenderedPageBreak/>
        <w:t>dostępności dla uczniów ze SPE, w tym także w zakresie wyposażenia (jako niezbędny i uzupełniający element projektu);</w:t>
      </w:r>
      <w:r>
        <w:br/>
        <w:t>2) budową nowej, dostępnej dla uczniów ze SPE infrastruktury, jedynie wyjątkowo i w uzasadnionych przypadkach, kiedy nie będzie możliwości adaptacji lub modernizacji istniejącej lub kiedy byłoby to nieefektywne kosztowo.</w:t>
      </w:r>
      <w:r>
        <w:br/>
        <w:t>Preferowane mogą być projekty:</w:t>
      </w:r>
      <w:r>
        <w:br/>
        <w:t>1)</w:t>
      </w:r>
      <w:r>
        <w:tab/>
        <w:t xml:space="preserve">zapewniające komplementarność do Działania 7.2 realizowanego z EFS+ na wzór modelu „Dostępna szkoła” w zakresie wdrożenia standardu dostępności edukacyjno-społecznej, który pozwoli na uzupełnienie działań infrastrukturalnych działaniami z obszaru podnoszenia kwalifikacji i kompetencji, edukacji i wychowania czy rozwiązań organizacyjnych </w:t>
      </w:r>
      <w:r>
        <w:br/>
        <w:t>2)</w:t>
      </w:r>
      <w:r>
        <w:tab/>
        <w:t>składane przez organy prowadzące szkoły nieposiadające oddziałów integracyjnych lub leżące w powiatach, na terenie których nie ma szkół z oddziałami integracyjnymi</w:t>
      </w:r>
      <w:r>
        <w:br/>
        <w:t>3)</w:t>
      </w:r>
      <w:r>
        <w:tab/>
        <w:t xml:space="preserve">uwzględniające komponent ponadnarodowy. </w:t>
      </w:r>
    </w:p>
    <w:p w14:paraId="72405F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A90770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0333F3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B1653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2289C6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A7EA2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072C1B6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2242C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00D14A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822D4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6B507C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9B38A7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7D4A4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3C3C3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838ED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AE9BD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zgodnie z regulaminem naboru</w:t>
      </w:r>
    </w:p>
    <w:p w14:paraId="0429B5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F1850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72CC47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1DFCA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216B31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85911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 Zintegrowane Inwestycje Terytorialne (ZIT)</w:t>
      </w:r>
    </w:p>
    <w:p w14:paraId="7C0980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38E0B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dostępność, edukacja_włączająca, infrastruktura_edukacji_ogólnej</w:t>
      </w:r>
    </w:p>
    <w:p w14:paraId="4B6D9B3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6E90F7C" w14:textId="1B26F815"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21" w:history="1">
        <w:r w:rsidRPr="005B2474">
          <w:rPr>
            <w:rStyle w:val="Hipercze"/>
          </w:rPr>
          <w:t>https://funduszeuedlamazowsza.eu/uchwaly-km-fem/</w:t>
        </w:r>
      </w:hyperlink>
    </w:p>
    <w:p w14:paraId="7603D4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C0969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602686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40F479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7DEFAB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6E9F4E6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7090EC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02CF39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62DD0B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507B7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2419BB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A4CFC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68BFB6D"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2" w:name="_Toc237347966"/>
      <w:r>
        <w:rPr>
          <w:rFonts w:ascii="Calibri" w:hAnsi="Calibri" w:cs="Calibri"/>
          <w:sz w:val="32"/>
        </w:rPr>
        <w:t>Działanie FEMA.05.03 Infrastruktura w edukacji zawodowej</w:t>
      </w:r>
      <w:bookmarkEnd w:id="22"/>
    </w:p>
    <w:p w14:paraId="0339571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9CF0D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EFRR.CP4.II - Poprawa równego dostępu do wysokiej jakości usług sprzyjających włączeniu społecznemu w zakresie kształcenia, szkoleń i uczenia się przez całe życie poprzez rozwój łatwo dostępnej </w:t>
      </w:r>
      <w:r>
        <w:lastRenderedPageBreak/>
        <w:t>infrastruktury, w tym poprzez wspieranie odporności w zakresie kształcenia i szkolenia na odległość oraz online</w:t>
      </w:r>
    </w:p>
    <w:p w14:paraId="2733D9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B2CF6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7097E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23E02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34 117 648,00</w:t>
      </w:r>
    </w:p>
    <w:p w14:paraId="3FEAE0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0AB90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26 200 000,00</w:t>
      </w:r>
    </w:p>
    <w:p w14:paraId="40CFEC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3C21A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124 - Infrastruktura na potrzeby kształcenia i szkolenia zawodowego oraz edukacji dorosłych</w:t>
      </w:r>
    </w:p>
    <w:p w14:paraId="4873A3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756BC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Rozwój nowoczesnej infrastruktury w zakresie edukacji zawodowej</w:t>
      </w:r>
      <w:r>
        <w:br/>
        <w:t>Wsparciem objęte będą projekty mające na celu:</w:t>
      </w:r>
      <w:r>
        <w:br/>
        <w:t xml:space="preserve">wzmocnienie jakości i konkurencyjności kształcenia zawodowego poprzez modernizację bazy techniczno-dydaktycznej szkolnictwa branżowego i placówek oświatowych w zakresie kształcenia zawodowego, (w tym tworzenie Branżowych Centrów Umiejętności), poprawę wyposażenia pracowni praktycznej nauki zawodu, stworzenie warunków zbliżonych do rzeczywistego środowiska pracy zawodowej pod kątem wyposażenia, doposażenia warsztatów i pracowni. </w:t>
      </w:r>
      <w:r>
        <w:br/>
        <w:t xml:space="preserve">W odniesieniu do przedsięwzięć wspieranych w ramach ww. działań zastosowanie będą mieć następujące zasady: </w:t>
      </w:r>
      <w:r>
        <w:br/>
        <w:t>1)</w:t>
      </w:r>
      <w:r>
        <w:tab/>
        <w:t xml:space="preserve">Przedmiotowa interwencja będzie bazować na wykorzystaniu obecnej infrastruktury (kompleksy budynków, hale warsztatowe), która </w:t>
      </w:r>
      <w:r>
        <w:br/>
        <w:t xml:space="preserve">zostanie dostosowana do warunków zbliżonych do rzeczywistego środowiska pracy zawodowej. </w:t>
      </w:r>
      <w:r>
        <w:br/>
        <w:t>2)</w:t>
      </w:r>
      <w:r>
        <w:tab/>
        <w:t xml:space="preserve">Podejmowane działania będą realizowane w oparciu o potrzeby </w:t>
      </w:r>
      <w:r>
        <w:br/>
        <w:t>zidentyfikowane na podstawie diagnozy w danej szkole.</w:t>
      </w:r>
      <w:r>
        <w:br/>
        <w:t>3)</w:t>
      </w:r>
      <w:r>
        <w:tab/>
        <w:t xml:space="preserve">Wszystkie działania będące przedmiotem interwencji będą zgodne z wymogami Konwencji ONZ o Prawach Osób Niepełnosprawnych, w tym Komentarzami Ogólnymi 4 i 6 oraz uwagami końcowymi dla Polski Komitetu ONZ ds. Praw Osób Niepełnosprawnych, z należytym poszanowaniem zasad równości, wolności wyboru, prawa do niezależnego życia, dostępności i zakazu wszelkich form segregacji. </w:t>
      </w:r>
      <w:r>
        <w:br/>
        <w:t>4)</w:t>
      </w:r>
      <w:r>
        <w:tab/>
        <w:t xml:space="preserve">Inwestycje będą musiały wykazać zgodność z polityką UE i ramami </w:t>
      </w:r>
      <w:r>
        <w:br/>
        <w:t xml:space="preserve">prawnymi odnośnie przestrzegania zobowiązań w zakresie praw człowieka, a mianowicie Kartą praw podstawowych, EFPS i Strategią na rzecz praw osób niepełnosprawnych 2021-2030. </w:t>
      </w:r>
      <w:r>
        <w:br/>
        <w:t>5)</w:t>
      </w:r>
      <w:r>
        <w:tab/>
        <w:t xml:space="preserve">Szkoły specjalne i inne placówki edukacyjne, które prowadzą do  </w:t>
      </w:r>
      <w:r>
        <w:br/>
        <w:t>segregacji lub utrzymania segregacji jakiejkolwiek grupy defaworyzowanej i/lub zagrożonej wykluczeniem społecznym, nie będą wspierane.</w:t>
      </w:r>
      <w:r>
        <w:br/>
      </w:r>
      <w:r>
        <w:lastRenderedPageBreak/>
        <w:t xml:space="preserve">6) Projekty realizowane będą zgodnie z: </w:t>
      </w:r>
      <w:r>
        <w:br/>
        <w:t>1. Rozporządzeniem:</w:t>
      </w:r>
      <w:r>
        <w:br/>
        <w:t>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tym z art. 9 w zakresie:</w:t>
      </w:r>
      <w:r>
        <w:br/>
        <w:t>• Karty Praw Podstawowych i Konwencji o prawach osób niepełnosprawnych</w:t>
      </w:r>
      <w:r>
        <w:br/>
        <w:t>• zasady równości szans i niedyskryminacji, w tym dostępności osób z niepełnosprawnościami</w:t>
      </w:r>
      <w:r>
        <w:br/>
        <w:t>• zasady równości kobiet i mężczyzn</w:t>
      </w:r>
      <w:r>
        <w:br/>
        <w:t>• zasady zrównoważonego rozwoju oraz zasady nie czyń poważnych szkód (DNSH).</w:t>
      </w:r>
      <w:r>
        <w:br/>
        <w:t xml:space="preserve">b)  PARLAMENTU EUROPEJSKIEGO I RADY (UE) 2021/1058 </w:t>
      </w:r>
      <w:r>
        <w:br/>
        <w:t xml:space="preserve">z dnia 24 czerwca 2021 r. w sprawie Europejskiego Funduszu Rozwoju Regionalnego i Funduszu Spójności </w:t>
      </w:r>
      <w:r>
        <w:br/>
        <w:t>2. Ustawą:</w:t>
      </w:r>
      <w:r>
        <w:br/>
        <w:t>a) z dnia 28 kwietnia 2022 r. o zasadach realizacji zadań finansowanych ze środków europejskich w perspektywie finansowej 2021–2027 ze zm.</w:t>
      </w:r>
      <w:r>
        <w:br/>
        <w:t>b) Prawo oświatowe z 14 grudnia 2016 r. z późn. zmianami</w:t>
      </w:r>
      <w:r>
        <w:br/>
        <w:t>3. Wytycznymi:</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 xml:space="preserve">d) dotyczącymi wyboru projektów na lata 2021-2027 </w:t>
      </w:r>
      <w:r>
        <w:br/>
        <w:t>e) dotyczącymi informacji i promocji Funduszy Europejskich na lata 2021-2027</w:t>
      </w:r>
      <w:r>
        <w:br/>
        <w:t xml:space="preserve">Kwalifikowalne do dofinansowania będą działania związane z </w:t>
      </w:r>
      <w:r>
        <w:br/>
        <w:t xml:space="preserve"> 1) przedsięwzięciami prowadzącymi do poprawy warunków nauczania dla wszystkich uczniów poprzez modernizację bazy techniczno-dydaktycznej szkolnictwa branżowego i poprawy wyposażenia pracowni praktycznej nauki zawodu oraz wyposażenie infrastruktury dydaktycznej szkół prowadzących kształcenie zawodowe;</w:t>
      </w:r>
      <w:r>
        <w:br/>
        <w:t>2) przedsięwzięciami z zakresu budowy nowych obiektów służących praktycznej nauce zawodu jedynie wyjątkowo i w uzasadnionych przypadkach, kiedy nie będzie możliwości adaptacji lub modernizacji istniejącej infrastruktury lub kiedy byłoby to nieefektywne kosztowo.</w:t>
      </w:r>
      <w:r>
        <w:br/>
        <w:t>Preferowane mogą być projekty</w:t>
      </w:r>
      <w:r>
        <w:br/>
        <w:t>1)</w:t>
      </w:r>
      <w:r>
        <w:tab/>
        <w:t>skierowane do szkół prowadzących kształcenie zawodowe w branży budowlanej, medycznej i produkcyjnej, zgodnie z Obwieszczeniem Ministra Edukacji i Nauki z 28 stycznia 2022 r. w sprawie prognozy zapotrzebowania na pracowników w zawodach szkolnictwa branżowego dla WM</w:t>
      </w:r>
      <w:r>
        <w:br/>
        <w:t>2)</w:t>
      </w:r>
      <w:r>
        <w:tab/>
        <w:t xml:space="preserve">komplementarne z projektami realizowanymi z EFS+ w ramach Działania 7.2. </w:t>
      </w:r>
      <w:r>
        <w:br/>
        <w:t>3)</w:t>
      </w:r>
      <w:r>
        <w:tab/>
        <w:t>skierowane na obszary strategicznej interwencji (OSI) wyznaczone w KSRR i wynikające z SR WM 2030+, tj. miast średnich tracących funkcje społeczno-gospodarcze oraz gmin zagrożonych trwałą marginalizacją,</w:t>
      </w:r>
      <w:r>
        <w:br/>
        <w:t>4)</w:t>
      </w:r>
      <w:r>
        <w:tab/>
        <w:t>realizowanych w ramach MSIT lub wynikające z GPR</w:t>
      </w:r>
      <w:r>
        <w:br/>
      </w:r>
      <w:r>
        <w:lastRenderedPageBreak/>
        <w:t>6)</w:t>
      </w:r>
      <w:r>
        <w:tab/>
        <w:t>uwzględniające komponent ponadnarodowy.</w:t>
      </w:r>
      <w:r>
        <w:br/>
        <w:t xml:space="preserve">Maksymalny poziom dofinansowania wydatków kwalifikowalnych w projekcie (środki UE) wyniesie: </w:t>
      </w:r>
      <w:r>
        <w:br/>
        <w:t xml:space="preserve"> • w regionie Mazowieckim regionalnym – 85%, </w:t>
      </w:r>
      <w:r>
        <w:br/>
        <w:t>• w regionie Warszawskim stołecznym – 50%.</w:t>
      </w:r>
    </w:p>
    <w:p w14:paraId="7585B2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5273D9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D730C4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1AB80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B78ED2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92E98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1BAEB3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8341C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22357B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8C3DE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0D48C8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C3B14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18AF9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B9953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1425B77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5FCE3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51A886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93D60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2B493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47F8D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Partnerzy społeczni, Przedsiębiorstwa, Przedsiębiorstwa realizujące cele publiczne</w:t>
      </w:r>
    </w:p>
    <w:p w14:paraId="5C66306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75B41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Szkoły i inne placówki systemu oświaty</w:t>
      </w:r>
    </w:p>
    <w:p w14:paraId="62FEB8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0FA39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infrastruktura_kształcenia_zawodowego</w:t>
      </w:r>
    </w:p>
    <w:p w14:paraId="7A86A7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AC4C82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0A3EDC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88FA9AB" w14:textId="40452AD3"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22" w:history="1">
        <w:r w:rsidRPr="005B2474">
          <w:rPr>
            <w:rStyle w:val="Hipercze"/>
          </w:rPr>
          <w:t>https://funduszeuedlamazowsza.eu/uchwaly-km-fem/</w:t>
        </w:r>
      </w:hyperlink>
    </w:p>
    <w:p w14:paraId="2A6CCA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A9338F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6CFE3C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7060AE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48016F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7A101E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5771B6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085A36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61DAC0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200567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A63FBA7"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3" w:name="_Toc237347967"/>
      <w:r>
        <w:rPr>
          <w:rFonts w:ascii="Calibri" w:hAnsi="Calibri" w:cs="Calibri"/>
          <w:sz w:val="32"/>
        </w:rPr>
        <w:t>Działanie FEMA.05.04 Infrastruktura w edukacji zawodowej w ZIT</w:t>
      </w:r>
      <w:bookmarkEnd w:id="23"/>
    </w:p>
    <w:p w14:paraId="38B9E9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F3D81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05A193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2A3F2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68CE6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66F03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9 000 000,00</w:t>
      </w:r>
    </w:p>
    <w:p w14:paraId="4BF4DD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BE16C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4 500 000,00</w:t>
      </w:r>
    </w:p>
    <w:p w14:paraId="61FE33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01955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124 - Infrastruktura na potrzeby kształcenia i szkolenia zawodowego oraz edukacji dorosłych</w:t>
      </w:r>
    </w:p>
    <w:p w14:paraId="16F76E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D453A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Rozwój nowoczesnej infrastruktury w zakresie edukacji zawodowej</w:t>
      </w:r>
      <w:r>
        <w:br/>
        <w:t>Wsparciem objęte będą projekty mające na celu:</w:t>
      </w:r>
      <w:r>
        <w:br/>
        <w:t>wzmocnienie jakości i konkurencyjności kształcenia zawodowego poprzez modernizację bazy techniczno-dydaktycznej szkolnictwa branżowego, poprawę wyposażenia pracowni praktycznej nauki zawodu, stworzenie warunków zbliżonych do rzeczywistego środowiska pracy zawodowej pod kątem wyposażenia, doposażenia warsztatów i pracowni. Wspierane projekty muszą wynikać ze strategii ZIT.</w:t>
      </w:r>
      <w:r>
        <w:br/>
        <w:t xml:space="preserve">W odniesieniu do przedsięwzięć wspieranych w ramach ww. działań zastosowanie będą mieć następujące zasady: </w:t>
      </w:r>
      <w:r>
        <w:br/>
        <w:t>1)</w:t>
      </w:r>
      <w:r>
        <w:tab/>
        <w:t xml:space="preserve">Przedmiotowa interwencja będzie bazować na wykorzystaniu obecnej infrastruktury (kompleksy budynków, hale warsztatowe), którą zostaną dostosowane do warunków zbliżonych do rzeczywistego środowiska pracy zawodowej. </w:t>
      </w:r>
      <w:r>
        <w:br/>
        <w:t>2)</w:t>
      </w:r>
      <w:r>
        <w:tab/>
        <w:t xml:space="preserve">Podejmowane działania będą realizowane w oparciu o potrzeby </w:t>
      </w:r>
      <w:r>
        <w:br/>
        <w:t>zidentyfikowane na podstawie diagnozy w danej szkole.</w:t>
      </w:r>
      <w:r>
        <w:br/>
        <w:t>3)</w:t>
      </w:r>
      <w:r>
        <w:tab/>
        <w:t xml:space="preserve">Wszystkie działania będące przedmiotem interwencji będą zgodne z wymogami Konwencji ONZ o Prawach Osób Niepełnosprawnych, w tym Komentarzami Ogólnymi 4 i 6 oraz uwagami końcowymi dla Polski Komitetu ONZ ds. Praw Osób Niepełnosprawnych, z należytym poszanowaniem zasad równości, wolności wyboru, prawa do niezależnego życia, dostępności i zakazu wszelkich form segregacji. </w:t>
      </w:r>
      <w:r>
        <w:br/>
        <w:t>4)</w:t>
      </w:r>
      <w:r>
        <w:tab/>
        <w:t xml:space="preserve">Inwestycje będą musiały wykazać zgodność z polityką UE i ramami </w:t>
      </w:r>
      <w:r>
        <w:br/>
        <w:t xml:space="preserve">prawnymi odnośnie przestrzegania zobowiązań w zakresie praw człowieka, a mianowicie Kartą praw podstawowych, EFPS i Strategią na rzecz praw osób niepełnosprawnych 2021-2030. </w:t>
      </w:r>
      <w:r>
        <w:br/>
        <w:t>5)</w:t>
      </w:r>
      <w:r>
        <w:tab/>
        <w:t xml:space="preserve">Szkoły specjalne i inne placówki edukacyjne, które prowadzą do  </w:t>
      </w:r>
      <w:r>
        <w:br/>
        <w:t>segregacji lub utrzymania segregacji jakiejkolwiek grupy defaworyzowanej i/lub zagrożonej wykluczeniem społecznym, nie będą wspierane.</w:t>
      </w:r>
      <w:r>
        <w:br/>
        <w:t xml:space="preserve">6) Projekty realizowane będą zgodnie z: </w:t>
      </w:r>
      <w:r>
        <w:br/>
        <w:t>1. Rozporządzeniem:</w:t>
      </w:r>
      <w:r>
        <w:br/>
        <w:t>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tym z art. 9 w zakresie:</w:t>
      </w:r>
      <w:r>
        <w:br/>
        <w:t>• Karty Praw Podstawowych i Konwencji o prawach osób niepełnosprawnych</w:t>
      </w:r>
      <w:r>
        <w:br/>
        <w:t>• zasady równości szans i niedyskryminacji, w tym dostępności osób z niepełnosprawnościami</w:t>
      </w:r>
      <w:r>
        <w:br/>
      </w:r>
      <w:r>
        <w:lastRenderedPageBreak/>
        <w:t>• zasady równości kobiet i mężczyzn</w:t>
      </w:r>
      <w:r>
        <w:br/>
        <w:t>• zasady zrównoważonego rozwoju oraz zasady nie czyń poważnych szkód (DNSH).</w:t>
      </w:r>
      <w:r>
        <w:br/>
        <w:t xml:space="preserve">b)  PARLAMENTU EUROPEJSKIEGO I RADY (UE) 2021/1058 </w:t>
      </w:r>
      <w:r>
        <w:br/>
        <w:t xml:space="preserve">z dnia 24 czerwca 2021 r. w sprawie Europejskiego Funduszu Rozwoju Regionalnego i Funduszu Spójności </w:t>
      </w:r>
      <w:r>
        <w:br/>
        <w:t>2. Ustawą:</w:t>
      </w:r>
      <w:r>
        <w:br/>
        <w:t>a) z dnia 28 kwietnia 2022 r. o zasadach realizacji zadań finansowanych ze środków europejskich w perspektywie finansowej 2021–2027 ze zm.</w:t>
      </w:r>
      <w:r>
        <w:br/>
        <w:t>b) Prawo oświatowe z 14 grudnia 2016 r. z późn. zmianami</w:t>
      </w:r>
      <w:r>
        <w:br/>
        <w:t>3. Wytycznymi:</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 xml:space="preserve">d) dotyczącymi wyboru projektów na lata 2021-2027 </w:t>
      </w:r>
      <w:r>
        <w:br/>
        <w:t>e) dotyczącymi informacji i promocji Funduszy Europejskich na lata 2021-2027</w:t>
      </w:r>
      <w:r>
        <w:br/>
        <w:t xml:space="preserve">Kwalifikowalne do dofinansowania będą działania związane z </w:t>
      </w:r>
      <w:r>
        <w:br/>
        <w:t xml:space="preserve"> 1) przedsięwzięciami prowadzącymi do poprawy warunków nauczania dla wszystkich uczniów poprzez modernizację bazy techniczno-dydaktycznej szkolnictwa branżowego i poprawy wyposażenia pracowni praktycznej nauki zawodu oraz wyposażenie infrastruktury dydaktycznej szkół prowadzących kształcenie zawodowe;</w:t>
      </w:r>
      <w:r>
        <w:br/>
        <w:t>2) przedsięwzięciami z zakresu budowy nowych obiektów służących praktycznej nauce zawodu jedynie wyjątkowo i w uzasadnionych przypadkach, kiedy nie będzie możliwości adaptacji lub modernizacji istniejącej infrastruktury lub kiedy byłoby to nieefektywne kosztowo.</w:t>
      </w:r>
      <w:r>
        <w:br/>
        <w:t>Preferowane mogą być projekty</w:t>
      </w:r>
      <w:r>
        <w:br/>
        <w:t>1)</w:t>
      </w:r>
      <w:r>
        <w:tab/>
        <w:t>skierowane do szkół prowadzących kształcenie zawodowe w branży budowlanej, medycznej i produkcyjnej, zgodnie z Obwieszczeniem Ministra Edukacji i Nauki z 28 stycznia 2022 r. w sprawie prognozy zapotrzebowania na pracowników w zawodach szkolnictwa branżowego dla WM</w:t>
      </w:r>
      <w:r>
        <w:br/>
        <w:t>2)</w:t>
      </w:r>
      <w:r>
        <w:tab/>
        <w:t xml:space="preserve">komplementarne z projektami realizowanymi z EFS+ w ramach Działania 7.2. </w:t>
      </w:r>
      <w:r>
        <w:br/>
        <w:t>3)</w:t>
      </w:r>
      <w:r>
        <w:tab/>
        <w:t>uwzględniające komponent ponadnarodowy.</w:t>
      </w:r>
    </w:p>
    <w:p w14:paraId="53D08B9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288FB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5C17B6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4D343F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07E2BB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04AE7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7493D5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67C4B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17 kwietnia 2024 r. w sprawie udzielania pomocy de minimis w ramach regionalnych programów na lata 2021–2027 (Dz.U. 2024 poz. 598)</w:t>
      </w:r>
    </w:p>
    <w:p w14:paraId="496CD1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E9D8AF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2CE9D1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117AB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417E20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3468B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4624B0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9E4EE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E9A11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792A51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3FD391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28BA0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 Zintegrowane Inwestycje Terytorialne (ZIT)</w:t>
      </w:r>
    </w:p>
    <w:p w14:paraId="31A21D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34AAD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infrastruktura_kształcenia_zawodowego</w:t>
      </w:r>
    </w:p>
    <w:p w14:paraId="52F486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9CF5A5C" w14:textId="518C8088"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23" w:history="1">
        <w:r w:rsidRPr="005B2474">
          <w:rPr>
            <w:rStyle w:val="Hipercze"/>
          </w:rPr>
          <w:t>https://funduszeuedlamazowsza.eu/uchwaly-km-fem/</w:t>
        </w:r>
      </w:hyperlink>
    </w:p>
    <w:p w14:paraId="72CA40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42220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3C439F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94866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398B5C4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32607B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3A7521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3A91C3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517F6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369E4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WLWK-RCR071 - Roczna liczba użytkowników nowych lub zmodernizowanych placówek oświatowych</w:t>
      </w:r>
    </w:p>
    <w:p w14:paraId="106198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B29661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E3ED8D3"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4" w:name="_Toc237347968"/>
      <w:r>
        <w:rPr>
          <w:rFonts w:ascii="Calibri" w:hAnsi="Calibri" w:cs="Calibri"/>
          <w:sz w:val="32"/>
        </w:rPr>
        <w:t>Działanie FEMA.05.05 Infrastruktura społeczna</w:t>
      </w:r>
      <w:bookmarkEnd w:id="24"/>
    </w:p>
    <w:p w14:paraId="5C10E74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F8553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14:paraId="08DB85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6893D5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A63DD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428FC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43 176 470,00</w:t>
      </w:r>
    </w:p>
    <w:p w14:paraId="235E91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E02B4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30 400 000,00</w:t>
      </w:r>
    </w:p>
    <w:p w14:paraId="48C7EA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87D53B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126 - Infrastruktura mieszkaniowa (inna niż dla migrantów, uchodźców i osób objętych ochroną międzynarodową lub ubiegających się o nią), 127 - Pozostała infrastruktura społeczna przyczyniająca się do włączenia społecznego</w:t>
      </w:r>
    </w:p>
    <w:p w14:paraId="3B01C4C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DE63D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Realizacja zaplanowanych działań umożliwi zapewnienie dostępu do niedrogich, wysokiej jakości zdeinstytucjonalizowanych usług społecznych odpowiadających na potrzeby osób potrzebujących wsparcia w codziennym funkcjonowaniu. Wspieranie infrastruktury społecznej powiązanej z procesem integracji społecznej oraz aktywizacji społeczno-zawodowej. Działania przyczynią się do ograniczenia ubóstwa i wykluczenia społecznego w szczególności w gminach niezapewniających dostępu do usług społecznych swoim mieszkańcom.</w:t>
      </w:r>
      <w:r>
        <w:br/>
        <w:t>Typ projektu:</w:t>
      </w:r>
      <w:r>
        <w:br/>
        <w:t>Tworzenie infrastruktury społecznej w ramach deinstytucjonalizacji usług i reintegracji społecznej</w:t>
      </w:r>
      <w:r>
        <w:br/>
        <w:t>Kluczowe warunki realizacji projektów:</w:t>
      </w:r>
      <w:r>
        <w:br/>
        <w:t>1.</w:t>
      </w:r>
      <w:r>
        <w:tab/>
        <w:t xml:space="preserve">Realizacja działań będzie zgodna z horyzontalną zasadą deinstytucjonalizacji, środki europejskie mogą być przeznaczane wyłącznie na infrastrukturę placówek świadczących usługi w społeczności lokalnej, a więc z poszanowaniem zasad indywidualizacji wsparcia, zapewnienia osobom kontroli nad swoim życiem i decyzjami, które ich dotyczą, pierwszeństwa indywidualnych potrzeb mieszkańców przed </w:t>
      </w:r>
      <w:r>
        <w:lastRenderedPageBreak/>
        <w:t>wymaganiami organizacyjnymi. W związku z powyższym inwestycje infrastrukturalne w placówki świadczące całodobową opiekę długoterminową w instytucjonalnych formach są niedozwolone.</w:t>
      </w:r>
      <w:r>
        <w:br/>
        <w:t>2.</w:t>
      </w:r>
      <w:r>
        <w:tab/>
        <w:t>Rozwój usług społecznych na rzecz osób zagrożonych ubóstwem i wykluczeniem społecznym, wspierany ze środków EFRR, będzie zgodny z założeniami Konwencji ONZ o Prawach Osób Niepełnosprawnych (UNCRPD), w tym Komentarzem ogólnym Nr 5 (2017) oraz Uwagami końcowymi dla Polski Komitetu ONZ ds. Praw Osób Niepełnosprawnych (CRPD), Strategią Rozwoju Usług Społecznych - polityka publiczna na lata 2021-2030 (z perspektywą do 2035 r.), jak też z kierunkami wskazanymi w Krajowym Programie Przeciwdziałania Ubóstwu i Wykluczeniu Społecznemu (aktualizacja 2021-2027) i Strategią na Rzecz Osób z Niepełnosprawnościami 2021-2030”.</w:t>
      </w:r>
      <w:r>
        <w:br/>
        <w:t>3.</w:t>
      </w:r>
      <w:r>
        <w:tab/>
        <w:t>Wsparcie w ramach Działania jest zgodne z Wytycznymi dotyczącymi realizacji zasad równościowych w ramach funduszy unijnych na lata 2021-2027, w szczególności wsparcie jest udzielane projektom uwzględniającym koncepcję uniwersalnego projektowania, zgodnie z ww. Wytycznymi.</w:t>
      </w:r>
      <w:r>
        <w:br/>
        <w:t>4.</w:t>
      </w:r>
      <w:r>
        <w:tab/>
        <w:t>Wszystkie projekty powinny być dopasowane do potrzeb lokalnych społeczności, a ich przygotowanie powinno być poprzedzone analizą potrzeb, bądź też wynikać bezpośrednio z zapisów Regionalnego Planu Deinstytucjonalizacji. Wsparcie powinno być realizowane w szczególności na obszarach niezapewniających dostępu lub utrudnionego dostępu do usług.</w:t>
      </w:r>
      <w:r>
        <w:br/>
        <w:t>5.</w:t>
      </w:r>
      <w:r>
        <w:tab/>
        <w:t>Inwestycje w obiekty mieszkalne (w tym infrastruktura mieszkalnictwa o charakterze wspomaganym i treningowym) nie mogą przyczyniać się do segregacji przestrzennej i społecznej grup marginalizowanych. Wsparte lokale nie powinny być zapewnione na obszarach odizolowanych od społeczności lokalnej i słabo skomunikowanej.</w:t>
      </w:r>
      <w:r>
        <w:br/>
        <w:t>6.</w:t>
      </w:r>
      <w:r>
        <w:tab/>
        <w:t>Wyklucza się możliwość wsparcia inwestycji infrastrukturalnych w placówki świadczące całodobowa opiekę długoterminowa w instytucjonalnych formach również w zakresie ich zmiany sposobu funkcjonowania na formy zdeinstytucjonalizowane. W przypadku podmiotów prowadzących działania jednocześnie w formie instytucjonalnych i zdeinstytucjonalizowanych, możliwe jest wsparcie jedynie tej części placówki, która oferuje już formy wsparcia w postaci zdeinstyticjonalizowanej przy jednoczesnym zapewnieniu, że wsparcie nie będzie dotyczyło części instytucjonalnej.</w:t>
      </w:r>
      <w:r>
        <w:br/>
        <w:t>7.</w:t>
      </w:r>
      <w:r>
        <w:tab/>
        <w:t>Wszystkie inwestycje muszą uwzględniać potrzeby grup docelowych, którzy będą odbiorcami wsparcia, szczególnie potrzeby osób z niepełnosprawnościami bądź osób o szczególnych potrzebach.</w:t>
      </w:r>
      <w:r>
        <w:br/>
        <w:t>8.</w:t>
      </w:r>
      <w:r>
        <w:tab/>
        <w:t xml:space="preserve">Dofinansowanie uzyskają przedsięwzięcia dotyczące remontu, wyposażenia, dostosowania, adaptacji lub modernizacji istniejącej infrastruktury niezbędnej do świadczenia usług, a w uzasadnionych przypadkach także budowy nowych budynków. Budowa nowej infrastruktury jest możliwa tylko w sytuacji wykazania braku możliwości zapewnienia dostępu do infrastruktury w inny sposób, a konieczność jej budowy została poparta analizą potrzeb np. wynika z Regionalnego Planu Deinstytucjonalizacji (przy uwzględnieniu konieczności zapewnienia trwałości projektów).  </w:t>
      </w:r>
      <w:r>
        <w:br/>
        <w:t>9.</w:t>
      </w:r>
      <w:r>
        <w:tab/>
        <w:t>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w:t>
      </w:r>
      <w:r>
        <w:br/>
        <w:t>Wsparciem będą objęte projekty:</w:t>
      </w:r>
      <w:r>
        <w:br/>
        <w:t>•</w:t>
      </w:r>
      <w:r>
        <w:tab/>
        <w:t xml:space="preserve">wsparcie dla tworzenia i funkcjonowania infrastruktury powiązanej z procesem aktywizacji społeczno-zawodowej ukierunkowanej na zwiększenie dostępności usług oferowanych przez podmioty </w:t>
      </w:r>
      <w:r>
        <w:lastRenderedPageBreak/>
        <w:t>reintegracyjne (CIS oraz KIS). W przypadku WTZ oraz ZAZ wsparcie ze środków EFRR będzie mieć charakter warunkowy tj. będzie możliwe tylko o ile placówka otrzymała wsparcie z EFS+ zgodnie z warunkami wskazanymi w Programie w ramach CS 4(h) oraz gdy będzie wynikało to z regionalnego planu deinstytucjonalizacji;</w:t>
      </w:r>
      <w:r>
        <w:br/>
        <w:t>•</w:t>
      </w:r>
      <w:r>
        <w:tab/>
        <w:t>wsparcie będzie obejmowało projekty, których realizacja przyczyni się do rozwoju usług opieki środowiskowej, tj. tworzenia i rozwoju infrastruktury na potrzeby realizacji usług środowiskowych i dziennych np. dziennych domów pobytu, placówek wsparcia dziennego, środowiskowych domów samopomocy;</w:t>
      </w:r>
      <w:r>
        <w:br/>
        <w:t>•</w:t>
      </w:r>
      <w:r>
        <w:tab/>
        <w:t>zasadnym jest również wsparcie w zakresie tworzenia i funkcjonowania mieszkań wspomaganych i mieszkań treningowych oraz mieszkań z usługami/ze wsparciem.</w:t>
      </w:r>
      <w:r>
        <w:br/>
        <w:t xml:space="preserve">Projekty realizowane będą w szczególności zgodnie z:   </w:t>
      </w:r>
      <w:r>
        <w:br/>
        <w:t xml:space="preserve">1. Rozporządzeniem: </w:t>
      </w:r>
      <w:r>
        <w:br/>
        <w:t xml:space="preserve">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br/>
        <w:t xml:space="preserve">b)  PARLAMENTU EUROPEJSKIEGO I RADY (UE) 2021/1058  </w:t>
      </w:r>
      <w:r>
        <w:br/>
        <w:t xml:space="preserve">z dnia 24 czerwca 2021 r. w sprawie Europejskiego Funduszu Rozwoju Regionalnego i Funduszu Spójności  </w:t>
      </w:r>
      <w:r>
        <w:br/>
        <w:t xml:space="preserve"> 2. Ustawą: </w:t>
      </w:r>
      <w:r>
        <w:br/>
        <w:t xml:space="preserve">a) z dnia 28 kwietnia 2022 r. o zasadach realizacji zadań finansowanych ze środków europejskich w perspektywie finansowej 2021–2027 ze zm. </w:t>
      </w:r>
      <w:r>
        <w:br/>
        <w:t xml:space="preserve">3. Wytycznymi: </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d) dotyczącymi wyboru projektów na lata 2021-2027,</w:t>
      </w:r>
      <w:r>
        <w:br/>
        <w:t>e) dotyczącymi informacji i promocji Funduszy Europejskich na lata 2021-2027.</w:t>
      </w:r>
      <w:r>
        <w:br/>
        <w:t>4. 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t>Preferowane mogą być projekty:</w:t>
      </w:r>
      <w:r>
        <w:br/>
        <w:t>•</w:t>
      </w:r>
      <w:r>
        <w:tab/>
        <w:t xml:space="preserve"> skierowane na obszary strategicznej interwencji (OSI) wyznaczone w KSRR i wynikające z SR WM 2030+, tj. miast średnich tracących funkcje społeczno-gospodarcze oraz gmin zagrożonych trwałą marginalizacją, </w:t>
      </w:r>
      <w:r>
        <w:br/>
        <w:t>•</w:t>
      </w:r>
      <w:r>
        <w:tab/>
        <w:t>realizowane w ramach MSIT lub wynikające z GPR,</w:t>
      </w:r>
      <w:r>
        <w:br/>
        <w:t>•</w:t>
      </w:r>
      <w:r>
        <w:tab/>
        <w:t>komplementarne z projektami realizowanymi z EFS+ w ramach Działania 8.5,</w:t>
      </w:r>
      <w:r>
        <w:br/>
        <w:t>•</w:t>
      </w:r>
      <w:r>
        <w:tab/>
        <w:t>w których podjęte zostaną działania, które zakładają współpracę ponadnarodową.</w:t>
      </w:r>
    </w:p>
    <w:p w14:paraId="14D3A2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UE w projekcie</w:t>
      </w:r>
    </w:p>
    <w:p w14:paraId="16140A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9F054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3DD61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EFB498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93FBC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3D2B43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FB884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w:t>
      </w:r>
    </w:p>
    <w:p w14:paraId="24C0B5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005077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2BFBD3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6F8E6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5B8D2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5E66C92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8409A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17C306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2458C1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BF776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F972F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60E1A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26225C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F466B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deinstytucjonalizacja, infrastruktura</w:t>
      </w:r>
    </w:p>
    <w:p w14:paraId="1B9D20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5FBE829" w14:textId="6DEC1022"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24" w:history="1">
        <w:r w:rsidRPr="005B2474">
          <w:rPr>
            <w:rStyle w:val="Hipercze"/>
          </w:rPr>
          <w:t>https://funduszeuedlamazowsza.eu/uchwaly-km-fem/</w:t>
        </w:r>
      </w:hyperlink>
    </w:p>
    <w:p w14:paraId="5C0660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7BA2E04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3282DB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611E85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WLWK-PLRO205 - Liczba wspartych obiektów, w których realizowane są usługi społeczne</w:t>
      </w:r>
    </w:p>
    <w:p w14:paraId="6B0544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WLWK-RCO065 - Pojemność nowych lub zmodernizowanych lokali socjalnych</w:t>
      </w:r>
    </w:p>
    <w:p w14:paraId="441E9C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5744B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WLWK-RCR067 - Roczna liczba użytkowników nowych lub zmodernizowanych lokali socjalnych</w:t>
      </w:r>
    </w:p>
    <w:p w14:paraId="39780A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WLWK-PLRR105 - Roczna liczba użytkowników obiektów świadczących usługi społeczne</w:t>
      </w:r>
    </w:p>
    <w:p w14:paraId="4D3E77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7081DF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1716932"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5" w:name="_Toc237347969"/>
      <w:r>
        <w:rPr>
          <w:rFonts w:ascii="Calibri" w:hAnsi="Calibri" w:cs="Calibri"/>
          <w:sz w:val="32"/>
        </w:rPr>
        <w:t>Działanie FEMA.05.06 Ochrona zdrowia</w:t>
      </w:r>
      <w:bookmarkEnd w:id="25"/>
    </w:p>
    <w:p w14:paraId="36DD6F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811B8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 - Zapewnianie równego dostępu do opieki zdrowotnej i wspieranie odporności systemów opieki zdrowotnej, w tym podstawowej opieki zdrowotnej, oraz wspieranie przechodzenia od opieki instytucjonalnej do opieki rodzinnej i środowiskowej</w:t>
      </w:r>
    </w:p>
    <w:p w14:paraId="0ACECF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AECB0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53D03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0C8E5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67 470 588,00</w:t>
      </w:r>
    </w:p>
    <w:p w14:paraId="261C71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C48812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47 200 000,00</w:t>
      </w:r>
    </w:p>
    <w:p w14:paraId="749072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473C9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 Infrastruktura zdrowotna</w:t>
      </w:r>
    </w:p>
    <w:p w14:paraId="4907A0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497DD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 Inwestycje w infrastrukturę zdrowotną</w:t>
      </w:r>
      <w:r>
        <w:br/>
        <w:t>Wsparciem objęte będą projekty służące poprawie dostępności i jakości usług zdrowotnych w zakresie:</w:t>
      </w:r>
      <w:r>
        <w:br/>
        <w:t>•</w:t>
      </w:r>
      <w:r>
        <w:tab/>
        <w:t>opieki długoterminowej i geriatrycznej w formach zdeinstytucjonalizowanych,</w:t>
      </w:r>
      <w:r>
        <w:br/>
        <w:t>•</w:t>
      </w:r>
      <w:r>
        <w:tab/>
        <w:t>opieki hospicyjnej i paliatywnej w formach zdeinstytucjonalizowanych,</w:t>
      </w:r>
      <w:r>
        <w:br/>
      </w:r>
      <w:r>
        <w:lastRenderedPageBreak/>
        <w:t>•</w:t>
      </w:r>
      <w:r>
        <w:tab/>
        <w:t>rehabilitacji i ambulatoryjnej opieki specjalistycznej (AOS), umożliwiające dostosowanie do rosnącej roli profilaktyki, diagnostyki, rehabilitacji i leczenia w trybie ambulatoryjnym, a także świadczenia teleusług, korzystania z e-rozwiązań i rozwoju opieki koordynowanej, jak również dostosowania do potrzeb osób starszych, poprawy standardów dostępności, leczenia i warunków udzielania świadczeń,</w:t>
      </w:r>
      <w:r>
        <w:br/>
        <w:t>•</w:t>
      </w:r>
      <w:r>
        <w:tab/>
        <w:t>podstawowej opieki zdrowotnej (POZ) poprzez wdrażanie standardu dostępności dla osób ze szczególnymi potrzebami w obszarze architektonicznym, cyfrowym, komunikacyjnym i organizacyjnym,</w:t>
      </w:r>
      <w:r>
        <w:br/>
        <w:t>•</w:t>
      </w:r>
      <w:r>
        <w:tab/>
        <w:t>opieki wysokospecjalistycznej poprzez rozwój opieki jednego dnia oraz wzmocnienie AOS,</w:t>
      </w:r>
      <w:r>
        <w:br/>
        <w:t>•</w:t>
      </w:r>
      <w:r>
        <w:tab/>
        <w:t>opieki nad pacjentem z mukowiscydozą: zarówno dzieci jak i dorosłych, poprzez zapewnienie kompleksowej opieki specjalistycznej, monitorowania stanu pacjenta i powikłań choroby, diagnostyki i leczenia pulmonologicznego oraz rehabilitacji w ramach: AOS, opieki dziennej, jednodniowej i środowiskowej,</w:t>
      </w:r>
      <w:r>
        <w:br/>
        <w:t>•</w:t>
      </w:r>
      <w:r>
        <w:tab/>
        <w:t>opieki psychiatrycznej, zgodnie ze zmianami systemowymi w tym obszarze, m.in.: rozwoju deinstytucjonalizacji (DI), tj. projektów służących wdrażaniu modelu środowiskowego.</w:t>
      </w:r>
      <w:r>
        <w:br/>
        <w:t xml:space="preserve">Przedsięwzięcia przyczynią się do realizacji celów i rekomendacji wskazanych w poniższych dokumentach: </w:t>
      </w:r>
      <w:r>
        <w:br/>
        <w:t>•</w:t>
      </w:r>
      <w:r>
        <w:tab/>
        <w:t>Zdrowa Przyszłość Ramy strategiczne rozwoju systemu ochrony zdrowia na lata 2021-2027, z perspektywą do 2030 r., cele: 1.1 Zapewnienie równej dostępności do świadczeń zdrowotnych w ilości i czasie adekwatnych do uzasadnionych potrzeb zdrowotnych społeczeństwa oraz 2.4 Optymalizacja piramidy świadczeń, tj. wsparcie przejścia od opieki szpitalnej do form zdeinstytucjonalizowanych, świadczonych w ramach POZ, AOS, w środowisku lokalnym;</w:t>
      </w:r>
      <w:r>
        <w:br/>
        <w:t>•</w:t>
      </w:r>
      <w:r>
        <w:tab/>
        <w:t>Mapa Potrzeb Zdrowotnych dla WM;</w:t>
      </w:r>
      <w:r>
        <w:br/>
        <w:t>•</w:t>
      </w:r>
      <w:r>
        <w:tab/>
        <w:t xml:space="preserve">Wojewódzki Plan Transformacji dla WM. </w:t>
      </w:r>
      <w:r>
        <w:br/>
        <w:t xml:space="preserve">Kwalifikowalne do dofinansowania będą działania: </w:t>
      </w:r>
      <w:r>
        <w:br/>
        <w:t>•</w:t>
      </w:r>
      <w:r>
        <w:tab/>
        <w:t>zgodne z przyjętym systemem koordynacji na forum Komitetu Sterującego ds. Zdrowia i uwzględniające obligatoryjne rekomendacje KS,</w:t>
      </w:r>
      <w:r>
        <w:br/>
        <w:t>•</w:t>
      </w:r>
      <w:r>
        <w:tab/>
        <w:t>przyczyniające się do odwrócenia piramidy świadczeń, tj. przejścia od opieki szpitalnej do form zdeinstytucjonalizowanych,</w:t>
      </w:r>
      <w:r>
        <w:br/>
        <w:t>•</w:t>
      </w:r>
      <w:r>
        <w:tab/>
        <w:t>obejmujące w szczególności zakup sprzętu i aparatury medycznej, a także wyposażenia umożliwiającego świadczenie usług z zakresu telemedycyny (np.: teleporady, teleopieka, telekonsultacje) i e-usług oraz niezbędne roboty budowlane,</w:t>
      </w:r>
      <w:r>
        <w:br/>
        <w:t>•</w:t>
      </w:r>
      <w:r>
        <w:tab/>
        <w:t xml:space="preserve">dla obszaru psychiatrii wymagana będzie zgoda MZ potwierdzająca komplementarność z działaniami realizowanymi na poziomie krajowym służącymi wdrożeniu modelu środowiskowej opieki psychiatrycznej, </w:t>
      </w:r>
      <w:r>
        <w:br/>
        <w:t>•</w:t>
      </w:r>
      <w:r>
        <w:tab/>
        <w:t>projekty mogą obejmować wdrożenie standardów dostępności w podmiotach wykonujących działalność leczniczą,</w:t>
      </w:r>
      <w:r>
        <w:br/>
        <w:t>•</w:t>
      </w:r>
      <w:r>
        <w:tab/>
        <w:t>wsparcie obejmujące wdrożenie standardu dostępności możliwe jest także w powiazaniu z działaniami z EFS+ CS 4(k), oraz w ramach cross-financingu,</w:t>
      </w:r>
      <w:r>
        <w:br/>
        <w:t>•</w:t>
      </w:r>
      <w:r>
        <w:tab/>
        <w:t>wsparcie mogą uzyskać wyłącznie podmioty działające w publicznym systemie ochrony zdrowia, tj. posiadające kontrakt z NFZ.</w:t>
      </w:r>
      <w:r>
        <w:br/>
      </w:r>
      <w:r>
        <w:br/>
        <w:t xml:space="preserve">Wyłączeniu ze wsparcia podlegać będą projekty, które kwalifikują się do otrzymania wsparcia w ramach </w:t>
      </w:r>
      <w:r>
        <w:lastRenderedPageBreak/>
        <w:t>programów krajowych.</w:t>
      </w:r>
      <w:r>
        <w:br/>
        <w:t>Wsparcie infrastrukturalne,  co do zasady może zostać skierowane na finansowanie projektów realizowanych w oparciu o istniejącą bazę lokalową. W wyjątkowych sytuacjach, w przypadku braku możliwości adaptacji istniejących budynków możliwa będzie budowa nowych obiektów.</w:t>
      </w:r>
      <w:r>
        <w:br/>
        <w:t>Wykluczeniu ze wsparcia podlegają inwestycje infrastrukturalne w placówki świadczące całodobową opiekę długoterminową w instytucjonalnych formach.</w:t>
      </w:r>
      <w:r>
        <w:br/>
        <w:t>W przypadku psychiatrii, inwestycje będą skupione przede wszystkim na pierwszym i drugim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CZP obejmujących inwestycje we wszystkie poziomy referencyjne.</w:t>
      </w:r>
      <w:r>
        <w:br/>
        <w:t>Projekty finansowane w ramach programu regionalnego ze środków EFRR lub EFS+ nie mogą powielać zakresu, na który dany podmiot otrzymał wsparcie w ramach KPO.</w:t>
      </w:r>
      <w:r>
        <w:br/>
      </w:r>
      <w:r>
        <w:br/>
        <w:t xml:space="preserve">Preferencje punktowe mogą być stosowane w projektach: </w:t>
      </w:r>
      <w:r>
        <w:br/>
        <w:t>1. skierowanych na obszary strategicznej interwencji (OSI) wyznaczone w KSRR i wynikające z SR WM 2030+, tj. miast średnich tracących funkcje społeczno-gospodarcze oraz gmin zagrożonych trwałą marginalizacją,</w:t>
      </w:r>
      <w:r>
        <w:br/>
        <w:t>2. realizowanych w ramach MSIT lub wynikające z GPR.</w:t>
      </w:r>
      <w:r>
        <w:br/>
      </w:r>
      <w:r>
        <w:br/>
        <w:t>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br/>
        <w:t>•</w:t>
      </w:r>
      <w:r>
        <w:tab/>
        <w:t>w regionie Mazowieckim regionalnym – 85%,</w:t>
      </w:r>
      <w:r>
        <w:br/>
        <w:t>•</w:t>
      </w:r>
      <w:r>
        <w:tab/>
        <w:t>w regionie Warszawskim stołecznym – 50%.</w:t>
      </w:r>
    </w:p>
    <w:p w14:paraId="1106F56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300B85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DADF3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5613B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E37441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193C813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413631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707E5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6509C9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38D46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1DE6E8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E66371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25CCD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6D34D3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1EAB87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58669D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09836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A765A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96F17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5EDAD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w:t>
      </w:r>
    </w:p>
    <w:p w14:paraId="5A32A2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39ED3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deinstytucjonalizacja, dzienny_dom_opieki_medycznej_DDOM, infrastruktura_ochrony_zdrowia, opieka_ambulatoryjna, opieka_hospicyjna, opieka_koordynowana, opieka_paliatywna, POZ, sprzęt_medyczny, telemedycyna</w:t>
      </w:r>
    </w:p>
    <w:p w14:paraId="5F37C4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9697F43" w14:textId="67A1C3BD"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25" w:history="1">
        <w:r w:rsidRPr="005B2474">
          <w:rPr>
            <w:rStyle w:val="Hipercze"/>
          </w:rPr>
          <w:t>https://funduszeuedlamazowsza.eu/uchwaly-km-fem/</w:t>
        </w:r>
      </w:hyperlink>
    </w:p>
    <w:p w14:paraId="5F442B4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53DC3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3D7365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WLWK-PLRO217 - Liczba wspartych istniejących Centrów Zdrowia Psychicznego</w:t>
      </w:r>
    </w:p>
    <w:p w14:paraId="0EFCBB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WLWK-PLRO216 - Liczba wspartych nowych Centrów Zdrowia Psychicznego</w:t>
      </w:r>
    </w:p>
    <w:p w14:paraId="10A37D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WLWK-PLRO202 - Liczba wspartych podmiotów leczniczych udzielających świadczeń w zakresie ambulatoryjnej opieki specjalistycznej (AOS)</w:t>
      </w:r>
    </w:p>
    <w:p w14:paraId="6B0B32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WLWK-PLRO204 - Liczba wspartych podmiotów leczniczych udzielających świadczeń w zakresie innym niż POZ, AOS, psychiatrii na I i II poziomie referencyjnym</w:t>
      </w:r>
    </w:p>
    <w:p w14:paraId="27AB29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WLWK-PLRO203 - Liczba wspartych podmiotów leczniczych udzielających świadczeń w zakresie psychiatrii na I i II poziomie referencyjnym </w:t>
      </w:r>
    </w:p>
    <w:p w14:paraId="6C544B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WLWK-PLRO201 - Liczba wspartych podmiotów wykonujących działalność leczniczą w rodzaju podstawowa opieka zdrowotna  (POZ)</w:t>
      </w:r>
    </w:p>
    <w:p w14:paraId="78D86F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WLWK-RCO069 - Pojemność nowych lub zmodernizowanych placówek opieki zdrowotnej</w:t>
      </w:r>
    </w:p>
    <w:p w14:paraId="224709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A3A07F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WLWK-RCR073 - Roczna liczba użytkowników nowych lub zmodernizowanych placówek opieki zdrowotnej</w:t>
      </w:r>
    </w:p>
    <w:p w14:paraId="3F500E9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D4C3607"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6" w:name="_Toc237347970"/>
      <w:r>
        <w:rPr>
          <w:rFonts w:ascii="Calibri" w:hAnsi="Calibri" w:cs="Calibri"/>
          <w:sz w:val="32"/>
        </w:rPr>
        <w:t>Działanie FEMA.05.07 Kultura i turystyka</w:t>
      </w:r>
      <w:bookmarkEnd w:id="26"/>
    </w:p>
    <w:p w14:paraId="6FC1AA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3C312E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EFRR.CP4.VI - Wzmacnianie roli kultury i zrównoważonej turystyki w rozwoju gospodarczym, włączeniu społecznym i innowacjach społecznych</w:t>
      </w:r>
    </w:p>
    <w:p w14:paraId="1DBA09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516F9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D6DAEC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53D648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76 705 883,00</w:t>
      </w:r>
    </w:p>
    <w:p w14:paraId="5EB4CC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91AE7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59 250 000,00</w:t>
      </w:r>
    </w:p>
    <w:p w14:paraId="782737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38555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165 - Ochrona, rozwój i promowanie publicznych walorów turystycznych i usług turystycznych, 166 - Ochrona, rozwój i promowanie dziedzictwa kulturowego i usług w dziedzinie kultury</w:t>
      </w:r>
    </w:p>
    <w:p w14:paraId="7D2D8BF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75FE1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Rozwój infrastruktury do prowadzenia działalności kulturalnej ważnej dla edukacji i aktywności kulturalnej,</w:t>
      </w:r>
      <w:r>
        <w:br/>
        <w:t>2.</w:t>
      </w:r>
      <w:r>
        <w:tab/>
        <w:t xml:space="preserve">Turystyczne szlaki tematyczne i produkty turystyczne (odwołujące się do walorów historycznych, kulturowych, przyrodniczych i kulinarnych). </w:t>
      </w:r>
      <w:r>
        <w:br/>
        <w:t xml:space="preserve">Projekt realizowany w ramach tego obszaru musi stanowić część większego przedsięwzięcia, które jest  zorientowane na poprawę oferty regionalnej i podregionalnej – tzn. turystycznej i kulturalnej, bazującej </w:t>
      </w:r>
      <w:r>
        <w:lastRenderedPageBreak/>
        <w:t xml:space="preserve">na walorach Mazowsza lub regionów etnograficznych, kulturowych, historycznych i przyrodniczych położonych w jego granicach i przynależne do istniejących szlaków turystycznych, włączeniem społecznym i innowacjami społecznymi w skali kraju, regionu lub lokalnej. </w:t>
      </w:r>
      <w:r>
        <w:br/>
        <w:t>W typie projektu: Rozwój infrastruktury do prowadzenia działalności kulturalnej ważnej dla edukacji i aktywności kulturalnej, wsparciem objęte będą:</w:t>
      </w:r>
      <w:r>
        <w:br/>
        <w:t>•</w:t>
      </w:r>
      <w:r>
        <w:tab/>
        <w:t>roboty budowlane, modernizacja infrastruktury trwałej mające na celu  przystosowania obiektów do potrzeb osób z niepełnosprawnościami,</w:t>
      </w:r>
      <w:r>
        <w:br/>
        <w:t>•</w:t>
      </w:r>
      <w:r>
        <w:tab/>
        <w:t>roboty budowlane, modernizacja infrastruktury trwałej mające na celu  ekologizację instytucji (tzn. poprawę wpływu na środowisko funkcjonowania i zarządzania całej instytucji, w tym w zakresie aspektów technologicznych),</w:t>
      </w:r>
      <w:r>
        <w:br/>
        <w:t>•</w:t>
      </w:r>
      <w:r>
        <w:tab/>
        <w:t xml:space="preserve">zakup, modernizacja wyposażenia do prowadzenia działalności kulturalnej w obiektach będących celem projektu umożliwiający rozszerzenie grup odbiorów realizowanej oferty lub/oraz umożliwiające wypracowanie nowych formatów działań i sposobów budowania relacji z odbiorcami w tym: działania związane z wykorzystaniem i rozwojem aplikacji i usług teleinformatycznych, </w:t>
      </w:r>
      <w:r>
        <w:br/>
        <w:t>•</w:t>
      </w:r>
      <w:r>
        <w:tab/>
        <w:t>rozwój kultury związanej z treściami cyfrowymi oraz zwiększenie znaczenia oferty świadczonej on-line,</w:t>
      </w:r>
      <w:r>
        <w:br/>
        <w:t>•</w:t>
      </w:r>
      <w:r>
        <w:tab/>
        <w:t xml:space="preserve">digitalizacja zasobów pod warunkiem powszechnego udostępnienia (wyłącznie jako element projektu), </w:t>
      </w:r>
      <w:r>
        <w:br/>
        <w:t>•</w:t>
      </w:r>
      <w:r>
        <w:tab/>
        <w:t>wdrożenie systemów liczenia odwiedzających i kontroli przepływu osób odwiedzających obiekty objęte wsparciem (wyłącznie jako element projektu).</w:t>
      </w:r>
      <w:r>
        <w:br/>
        <w:t>W typie projektu: Turystyczne szlaki tematyczne i produkty turystyczne (odwołujące się do walorów historycznych, kulturowych, przyrodniczych i kulinarnych, wsparciem objęte będą:</w:t>
      </w:r>
      <w:r>
        <w:br/>
        <w:t>•</w:t>
      </w:r>
      <w:r>
        <w:tab/>
        <w:t>roboty budowlane, modernizacja oraz rozwój systemów oznakowania istniejących szlaków turystycznych i wyposażenie ich w niezbędną infrastrukturę (w tym z zakresu przystosowania obiektów do potrzeb osób z niepełnosprawnościami) z uwzględnieniem ochrony terenów otwartych, w szczególności przez utrzymywanie jak najwyższego poziomu powierzchni biologicznie czynnej zagospodarowywanych terenów,</w:t>
      </w:r>
      <w:r>
        <w:br/>
        <w:t>•</w:t>
      </w:r>
      <w:r>
        <w:tab/>
        <w:t>zakup wyposażenia do rozwoju oferty turystycznej istniejących szlaków turystycznych, poprawy obsługi ruchu turystycznego, promocji (promocja dotyczy wyłącznie istniejącego szlaku turystycznego będącego przedmiotu projektu),</w:t>
      </w:r>
      <w:r>
        <w:br/>
        <w:t>•</w:t>
      </w:r>
      <w:r>
        <w:tab/>
        <w:t>wprowadzenie innowacji i cyfryzacji w ramach przemysłu turystycznego i jego produktów, np. w zakresie zarządzania, systemu organizacji usług, kreowania nowych, innowacyjnych produktów czy wykorzystywania efektów współpracy i synergii do realizacji usług turystycznych, co pozwoli na wzrost dochodów i tym samym przyczyni się do odbudowy lokalnych gospodarek,</w:t>
      </w:r>
      <w:r>
        <w:br/>
        <w:t>•</w:t>
      </w:r>
      <w:r>
        <w:tab/>
        <w:t>wsparcie dla projektów zrównoważonej turystyki w celu zwiększania zatrudnienia i stworzenia wysokiej jakości miejsc pracy, zwłaszcza dla społeczności znajdujących się w trudnej sytuacji, z wykorzystaniem potencjału podmiotów ekonomii społecznej,</w:t>
      </w:r>
      <w:r>
        <w:br/>
        <w:t>•</w:t>
      </w:r>
      <w:r>
        <w:tab/>
        <w:t>usuwanie barier architektonicznych dla osób z niepełnosprawnościami.</w:t>
      </w:r>
      <w:r>
        <w:br/>
        <w:t xml:space="preserve">W odniesieniu do przedsięwzięć wspieranych w ramach ww. działań zastosowanie będą mieć następujące zasady: </w:t>
      </w:r>
      <w:r>
        <w:br/>
        <w:t>•</w:t>
      </w:r>
      <w:r>
        <w:tab/>
        <w:t>wsparte projekty muszą być realizowane poprzez instrument terytorialny – MSIT lub wynikać z LSR,</w:t>
      </w:r>
      <w:r>
        <w:br/>
      </w:r>
      <w:r>
        <w:lastRenderedPageBreak/>
        <w:t>•</w:t>
      </w:r>
      <w:r>
        <w:tab/>
        <w:t>wszelkie dziania powinny być zgodne z duchem European Green Deal, New European Bauhaus, sustainability i SDGs, circular economy,</w:t>
      </w:r>
      <w:r>
        <w:br/>
        <w:t>•</w:t>
      </w:r>
      <w:r>
        <w:tab/>
        <w:t>projekt musi przewidywać stabilność finansową instytucji kultury poprzez dywersyfikację źródeł dochodów własnych i większe uzależnienie od nich,</w:t>
      </w:r>
      <w:r>
        <w:br/>
        <w:t>•</w:t>
      </w:r>
      <w:r>
        <w:tab/>
        <w:t>projekty turystyczne muszą mieć charakter zintegrowany, tj. zakładać oddziaływanie na lokalną gospodarkę, środowisko i życie społeczne,</w:t>
      </w:r>
      <w:r>
        <w:br/>
        <w:t>•</w:t>
      </w:r>
      <w:r>
        <w:tab/>
        <w:t>należy dostosować obiekty i przestrzenie do potrzeb osób ze szczególnymi potrzebami, osób z niepełnosprawnościami pozwalające na zwiększenie włączenia społecznego, tzn. wykorzystywać projektowanie uniwersalne,</w:t>
      </w:r>
      <w:r>
        <w:br/>
        <w:t>•</w:t>
      </w:r>
      <w:r>
        <w:tab/>
        <w:t>nie ma możliwości budowania nowych obiektów kubaturowych. W pierwszej kolejności należy wykorzystywać infrastrukturę istniejącą. Przebudowa i rozbudowa obiektów jest dopuszczona tylko w uzasadnionych przypadkach tj. dostosowania obiektów do potrzeb osób z niepełnosprawnościami – w tym budowy windy, dostosowania obiektów do wymaganych warunków przeciwpożarowych,  dostosowania obiektów do wymaganych warunków sanitarnych, budowy łączników, np. w obiektach zabytkowych pełniących funkcje kulturalne,</w:t>
      </w:r>
      <w:r>
        <w:br/>
        <w:t>•</w:t>
      </w:r>
      <w:r>
        <w:tab/>
        <w:t>wsparcie nie będzie udzielane na wydarzenia artystyczne i festiwale, jako nieprzynoszące trwałego efektu gospodarczego,</w:t>
      </w:r>
      <w:r>
        <w:br/>
        <w:t>•</w:t>
      </w:r>
      <w:r>
        <w:tab/>
        <w:t>należy unikać tworzenia powierzchni uszczelnionych na rzecz zwiększających powierzchnie biologicznie czynne, w tym zazieleniane i umożliwiające infiltrację wód opadowych,</w:t>
      </w:r>
      <w:r>
        <w:br/>
        <w:t>•</w:t>
      </w:r>
      <w:r>
        <w:tab/>
        <w:t>inwestycje w elementy infrastruktury drogowej (w tym w parkingi) nie będą wspierane, chyba że stanowią nieodłączny element większego projektu (np. związany z dostępnością dla osób z niepełnosprawnościami), nie są one dominującym elementem tego projektu a ich koszt nie przekracza 15% kosztów kwalifikowalnych. W miastach projekty te nie mogą obejmować budowy nowych dróg lub parkingów oraz, w odniesieniu do istniejących, zwiększenia ich pojemności lub przepustowości, ani nie mogą w inny sposób przyczyniać się do zwiększenia natężenia ruchu samochodowego.</w:t>
      </w:r>
      <w:r>
        <w:br/>
        <w:t>Kwalifikowalne do dofinansowania będą:</w:t>
      </w:r>
      <w:r>
        <w:br/>
        <w:t>•</w:t>
      </w:r>
      <w:r>
        <w:tab/>
        <w:t xml:space="preserve">w przypadku  projektów realizowanych w ramach wsparcia sektora kultury – obiekty związane wyłącznie z funkcją kulturalną, </w:t>
      </w:r>
      <w:r>
        <w:br/>
        <w:t>•</w:t>
      </w:r>
      <w:r>
        <w:tab/>
        <w:t xml:space="preserve">koszty modernizacji, konserwacji lub poprawy infrastruktury kultury i dziedzictwa kulturowego kwalifikują się do wsparcia, jeżeli w skali roku przynajmniej 80% czasu lub powierzchni tej infrastruktury jest wykorzystywane do celów związanych z kulturą, </w:t>
      </w:r>
      <w:r>
        <w:br/>
        <w:t>•</w:t>
      </w:r>
      <w:r>
        <w:tab/>
        <w:t>w przypadku  projektów realizowanych w ramach wsparcia sektora turystycznego – istniejące szlaki turystyczne. Za istniejące szlaki turystyczne uznajemy wytyczoną trasę (np. w przestrzeni wirtualnej lub w terenie), jak również  punkty (np. miejsca, osoby, produkty), w oparciu o które można wytyczyć trasę służąca do odbywania wycieczek, posiadającą jednolite oznaczenie (symbole) i wyposażoną w informacje, które umożliwią dotarcie do najciekawszych punktów topograficznych, miejsc/wydarzeń związanych z dziedzictwem kulturowym oraz obiektów krajoznawczych widokowych, przyrodniczych, architektonicznych i archeologicznych na Mazowszu.</w:t>
      </w:r>
      <w:r>
        <w:br/>
        <w:t>Preferowane będą projekty:</w:t>
      </w:r>
      <w:r>
        <w:br/>
        <w:t>•</w:t>
      </w:r>
      <w:r>
        <w:tab/>
        <w:t>komplementarne z działaniami ze środkami EFS+ (CS 4(d), 4(f) i 4(g)), szczególnie w zakresie podnoszenia kompetencji cyfrowych, np. poprzez nabory skoordynowane lub punkty preferencyjne,</w:t>
      </w:r>
      <w:r>
        <w:br/>
        <w:t>•</w:t>
      </w:r>
      <w:r>
        <w:tab/>
        <w:t xml:space="preserve">dla których wykonano analizę popytu – wykazano zapotrzebowanie na dany projekt, w tym </w:t>
      </w:r>
      <w:r>
        <w:lastRenderedPageBreak/>
        <w:t>szacowaną liczbę odwiedzających,</w:t>
      </w:r>
      <w:r>
        <w:br/>
        <w:t>•</w:t>
      </w:r>
      <w:r>
        <w:tab/>
        <w:t>stosujące innowacyjne rozwiązania energooszczędne – zmniejszenie zapotrzebowania i zużycia energii, a przez to zmniejszenie ogólnych kosztów eksploatacji budynków</w:t>
      </w:r>
      <w:r>
        <w:br/>
        <w:t>•</w:t>
      </w:r>
      <w:r>
        <w:tab/>
        <w:t>wdrążające rozwiązania w zakresie obiegu cyrkularnego i zwiększające odporność na skutki zmian klimatycznych, rozwiązania niskoemisyjne, zasobooszczędne i cyfrowe,</w:t>
      </w:r>
      <w:r>
        <w:br/>
        <w:t>•</w:t>
      </w:r>
      <w:r>
        <w:tab/>
        <w:t>pozwalające przemodelować funkcjonowanie obiektów turystycznych i kulturalnych tak, aby odbudować i rozwinąć potencjał obu tych sektorów przy zachowaniu niezbędnych środków ostrożności, na wypadek ewentualnych lockdownów gospodarki wywołanych m.in. pandemią COVID-19, a także dostosowania ich do funkcjonowania w warunkach postcovidowych oraz do nowych ram, w jakich w kolejnych latach będą zmuszone funkcjonować,</w:t>
      </w:r>
      <w:r>
        <w:br/>
        <w:t>•</w:t>
      </w:r>
      <w:r>
        <w:tab/>
        <w:t>wspierające rozwój sektorów kreatywnych i przemysłu czasu wolnego, promocję dziedzictwa narodowego i walorów turystycznych Mazowsza dla rozwoju gospodarczego i spójności społecznej,</w:t>
      </w:r>
      <w:r>
        <w:br/>
        <w:t>•</w:t>
      </w:r>
      <w:r>
        <w:tab/>
        <w:t>wykorzystujące efekt współpracy i synergii pomiędzy podmiotami,</w:t>
      </w:r>
      <w:r>
        <w:br/>
        <w:t>•</w:t>
      </w:r>
      <w:r>
        <w:tab/>
        <w:t>przyczyniające się do zwiększenia ruchu turystycznego,</w:t>
      </w:r>
      <w:r>
        <w:br/>
        <w:t>•</w:t>
      </w:r>
      <w:r>
        <w:tab/>
        <w:t>przyczyniające się do poprawy jakości edukacji kulturalnej,</w:t>
      </w:r>
      <w:r>
        <w:br/>
        <w:t>•</w:t>
      </w:r>
      <w:r>
        <w:tab/>
        <w:t>skierowanych na obszary strategicznej interwencji (OSI) wyznaczone w KSRR i wynikające z SR WM 2030+, tj. miast średnich tracących funkcje społeczno-gospodarcze oraz gmin zagrożonych trwałą marginalizacją,</w:t>
      </w:r>
      <w:r>
        <w:br/>
        <w:t>•</w:t>
      </w:r>
      <w:r>
        <w:tab/>
        <w:t>wynikające z GPR znajdującym się w Wykazie programów rewitalizacji województwa mazowieckiego.</w:t>
      </w:r>
      <w:r>
        <w:br/>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br/>
        <w:t>•</w:t>
      </w:r>
      <w:r>
        <w:tab/>
        <w:t>w regionie Mazowieckim regionalnym – 85%,</w:t>
      </w:r>
      <w:r>
        <w:br/>
        <w:t>•</w:t>
      </w:r>
      <w:r>
        <w:tab/>
        <w:t>w regionie Warszawskim stołecznym – 50%.</w:t>
      </w:r>
    </w:p>
    <w:p w14:paraId="145799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FA565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73991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6A1393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21C21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7C30EE3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7C30C43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5E58B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021E61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292BC7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3255F1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60DC1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8CA675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7EBB9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927A5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0F9A8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4C378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9EABD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1D87C26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C3AA1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 Nie dotyczy</w:t>
      </w:r>
    </w:p>
    <w:p w14:paraId="70552C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EA9D75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24B805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2B5A7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cyfrowa_kultura, kultura, turystyka</w:t>
      </w:r>
    </w:p>
    <w:p w14:paraId="4DDA5A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CD2EB89" w14:textId="1B84BA74"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26" w:history="1">
        <w:r w:rsidRPr="005B2474">
          <w:rPr>
            <w:rStyle w:val="Hipercze"/>
          </w:rPr>
          <w:t>https://funduszeuedlamazowsza.eu/uchwaly-km-fem/</w:t>
        </w:r>
      </w:hyperlink>
    </w:p>
    <w:p w14:paraId="52A2D0F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B3696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WLWK-PLRO222 - Długość  wspartych  turystycznych szlaków rowerowych o nawierzchni gruntowej</w:t>
      </w:r>
    </w:p>
    <w:p w14:paraId="082B1F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WLWK-PLRO221 - Długość  wspartych turystycznych szlaków rowerowych o nawierzchni utwardzonej nieulepszonej </w:t>
      </w:r>
    </w:p>
    <w:p w14:paraId="79652AD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WLWK-PLRO220 - Długość  wspartych turystycznych szlaków rowerowych o nawierzchni utwardzonej ulepszonej</w:t>
      </w:r>
    </w:p>
    <w:p w14:paraId="3929B8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WLWK-PLRO136 - Długość odnowionych szlaków turystycznych</w:t>
      </w:r>
    </w:p>
    <w:p w14:paraId="1097CF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WLWK-PLRO141 - Liczba instytucji kultury objętych wsparciem</w:t>
      </w:r>
    </w:p>
    <w:p w14:paraId="2AF119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7E59C9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WLWK-RCO077 - Liczba obiektów kulturalnych i turystycznych objętych wsparciem</w:t>
      </w:r>
    </w:p>
    <w:p w14:paraId="558D86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3173F8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WLWK-PLRO198 - Liczba przeszkolonych osób działających w sektorze kultury</w:t>
      </w:r>
    </w:p>
    <w:p w14:paraId="48FE2C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WLWK-PLRO143 - Liczba utworzonych punktów informacji turystycznej i infokiosków zapewniających obsługę w min. 2 językach obcych</w:t>
      </w:r>
    </w:p>
    <w:p w14:paraId="5A09D0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WLWK-PLRO140 - Liczba wspartych obiektów o charakterze niezabytkowym</w:t>
      </w:r>
    </w:p>
    <w:p w14:paraId="45A3B1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WLWK-PLRO144 - Liczba wspartych obiektów w miejscach dziedzictwa naturalnego</w:t>
      </w:r>
    </w:p>
    <w:p w14:paraId="33E27C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WLWK-PLRO139 - Liczba zabytków nieruchomych objętych wsparciem</w:t>
      </w:r>
    </w:p>
    <w:p w14:paraId="12CA57A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77906C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7A9C0F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016F78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WLWK-RCR077 - Liczba osób odwiedzających obiekty kulturalne i turystyczne objęte wsparciem</w:t>
      </w:r>
    </w:p>
    <w:p w14:paraId="1C22B7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WLWK-PLRR082 - Roczna liczba turystów korzystających ze wspartych szlaków turystycznych</w:t>
      </w:r>
    </w:p>
    <w:p w14:paraId="7AEA8C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13239A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7F45964"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7" w:name="_Toc237347971"/>
      <w:r>
        <w:rPr>
          <w:rFonts w:ascii="Calibri" w:hAnsi="Calibri" w:cs="Calibri"/>
          <w:sz w:val="32"/>
        </w:rPr>
        <w:t>Działanie FEMA.05.08 Infrastruktura szkolnictwa wyższego</w:t>
      </w:r>
      <w:bookmarkEnd w:id="27"/>
    </w:p>
    <w:p w14:paraId="541640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4B61D6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099413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0BBF5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Mazowiecka Jednostka Wdrażania Programów Unijnych</w:t>
      </w:r>
    </w:p>
    <w:p w14:paraId="15C15DB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634CF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16 235 294,00</w:t>
      </w:r>
    </w:p>
    <w:p w14:paraId="2319BBD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D492E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11 700 000,00</w:t>
      </w:r>
    </w:p>
    <w:p w14:paraId="6B938C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68814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123 - Infrastruktura na potrzeby szkolnictwa wyższego</w:t>
      </w:r>
    </w:p>
    <w:p w14:paraId="7D86412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27E047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Infrastruktura szkolnictwa wyższego</w:t>
      </w:r>
      <w:r>
        <w:br/>
      </w:r>
      <w:r>
        <w:br/>
        <w:t>Wsparciem objęte będą projekty mające na celu:</w:t>
      </w:r>
      <w:r>
        <w:br/>
        <w:t>wzmocnienie jakości i konkurencyjności kształcenia na poziomie wyższym poprzez inwestycje w infrastrukturę szkolnictwa wyższego wraz z zapewnieniem wyposażenia oraz dostosowaniem infrastruktury do edukacji włączającej.</w:t>
      </w:r>
      <w:r>
        <w:br/>
      </w:r>
      <w:r>
        <w:br/>
        <w:t xml:space="preserve">W odniesieniu do przedsięwzięć wspieranych w ramach ww. działań zastosowanie będą mieć następujące zasady: </w:t>
      </w:r>
      <w:r>
        <w:br/>
        <w:t>1)</w:t>
      </w:r>
      <w:r>
        <w:tab/>
        <w:t xml:space="preserve">wsparcie jest dedykowane uczelniom, które prowadzą kształcenie na kierunkach medycznych o profilu praktycznym, takich jak: kierunek lekarski (z wyłączeniem kierunku lekarsko-dentystycznego), pielęgniarstwo, położnictwo, ratownictwo medyczne i fizjoterapia; </w:t>
      </w:r>
      <w:r>
        <w:br/>
        <w:t>2)</w:t>
      </w:r>
      <w:r>
        <w:tab/>
        <w:t>dofinansowaniem EFRR zostaną objęte również uczelnie prowadzące kształcenie na kierunku lekarskim o profilu ogólnoakademickim, pod warunkiem, że wsparcie będzie dotyczyło inwestycji w infrastrukturę włączającą dla osób ze specjalnymi potrzebami edukacyjnymi, zgodnie z art. 11 ust. 1 pkt 6 ustawy Prawo o szkolnictwie wyższym i nauce z 20 lipca 2018 r., wg którego jednym z podstawowych zadań uczelni jest stwarzanie osobom z niepełnosprawnością warunków do pełnego udziału w:</w:t>
      </w:r>
      <w:r>
        <w:br/>
        <w:t>a) procesie przyjmowania na uczelnię w celu odbywania kształcenia,</w:t>
      </w:r>
      <w:r>
        <w:br/>
        <w:t>b) kształceniu,</w:t>
      </w:r>
      <w:r>
        <w:br/>
        <w:t>c) prowadzeniu działalności naukowej;</w:t>
      </w:r>
      <w:r>
        <w:br/>
        <w:t>3)   dokonywane w ramach inwestycji roboty budowlane będą realizowane zgodnie z art. 6 ustawy z 19 lipca 2019 r. o zapewnianiu dostępności osobom ze szczególnymi potrzebami, określającym minimalne wymagania służące zapewnieniu dostępności osobom ze szczególnymi potrzebami w zakresie dostępności architektonicznej:</w:t>
      </w:r>
      <w:r>
        <w:br/>
        <w:t>a)</w:t>
      </w:r>
      <w:r>
        <w:tab/>
        <w:t>zapewnienie wolnych od barier poziomych i pionowych przestrzeni komunikacyjnych budynków,</w:t>
      </w:r>
      <w:r>
        <w:br/>
        <w:t>b)</w:t>
      </w:r>
      <w:r>
        <w:tab/>
        <w:t>instalację urządzeń lub zastosowanie środków technicznych i rozwiązań architektonicznych w budynku, które umożliwiają dostęp do wszystkich pomieszczeń, z wyłączeniem pomieszczeń technicznych,</w:t>
      </w:r>
      <w:r>
        <w:br/>
      </w:r>
      <w:r>
        <w:lastRenderedPageBreak/>
        <w:t>c)</w:t>
      </w:r>
      <w:r>
        <w:tab/>
        <w:t>zapewnienie informacji na temat rozkładu pomieszczeń w budynku, co najmniej w sposób wizualny i dotykowy lub głosowy,</w:t>
      </w:r>
      <w:r>
        <w:br/>
        <w:t>d)</w:t>
      </w:r>
      <w:r>
        <w:tab/>
        <w:t>zapewnienie wstępu do budynku osobie korzystającej z psa asystującego, o którym mowa w art. 2 pkt 11 ustawy z dnia 27 sierpnia 1997 r. o rehabilitacji zawodowej i społecznej oraz zatrudnianiu osób niepełnosprawnych (Dz. U. z 2024 r. poz. 44, 858, 1089 i 1165),</w:t>
      </w:r>
      <w:r>
        <w:br/>
        <w:t>e)</w:t>
      </w:r>
      <w:r>
        <w:tab/>
        <w:t>zapewnienie osobom ze szczególnymi potrzebami możliwości ewakuacji lub ich uratowania w inny sposób;</w:t>
      </w:r>
      <w:r>
        <w:br/>
        <w:t>4)  podejmowane działania będą realizowane w oparciu o deficyty i potrzeby zidentyfikowane na podstawie diagnozy wykonanej dla danej uczelni, w zakresie dostępności w oparciu o audyt dostępności;</w:t>
      </w:r>
      <w:r>
        <w:br/>
        <w:t>5) kosztami kwalifikowalnymi nie będą koszty pomieszczeń ogólnodydaktycznych, w których prowadzone są zajęcia niezwiązane z realizacją komponentu praktycznego programu kształcenia, odbywające się np. w laboratoriach i specjalistycznych pracowniach. Wyjątkiem będą pomieszczenia, w których zaplanowano działania na rzecz edukacji włączającej;</w:t>
      </w:r>
      <w:r>
        <w:br/>
        <w:t>6) przedmiotowa interwencja będzie bazować na wykorzystaniu obecnej infrastruktury. Budowa obiektów budowlanych będzie możliwa w wyjątkowych sytuacjach;</w:t>
      </w:r>
      <w:r>
        <w:br/>
        <w:t>7)   nie będzie wspierana infrastruktura sportowa;</w:t>
      </w:r>
      <w:r>
        <w:br/>
        <w:t xml:space="preserve">8)   uczelnie, które uzyskały dofinansowanie w ramach KPO, Komponent D „Efektywność, dostępność i jakość systemu ochrony zdrowia”, Inwestycja D2.1.1 „Inwestycje związane z modernizacją i doposażeniem obiektów dydaktycznych w związku ze zwiększeniem limitów przyjęć na studia medyczne”, nie będą mogły ubiegać się o wsparcie; </w:t>
      </w:r>
      <w:r>
        <w:br/>
        <w:t>9)   uczelnie, które uzyskały dofinansowanie w ramach Działania FERS.03.01 Dostępność szkolnictwa wyższego, nie będą mogły ubiegać się o wsparcie w tym samym zakresie;</w:t>
      </w:r>
      <w:r>
        <w:br/>
        <w:t>10) inwestycje w zakresie wyposażenia ICT są możliwe jedynie z zastrzeżeniem, że nie będą dotyczyć zakresu wsparcia objętego KPO;</w:t>
      </w:r>
      <w:r>
        <w:br/>
        <w:t xml:space="preserve">11) wszystkie działania będące przedmiotem interwencji będą zgodne z wymogami Konwencji ONZ o Prawach Osób Niepełnosprawnych, w tym Komentarzami Ogólnymi 4 i 6 oraz uwagami końcowymi dla Polski Komitetu ONZ ds. Praw Osób Niepełnosprawnych, z należytym poszanowaniem zasad równości, wolności wyboru, prawa do niezależnego życia, dostępności i zakazu wszelkich form segregacji; </w:t>
      </w:r>
      <w:r>
        <w:br/>
        <w:t>12) inwestycje będą musiały wykazać zgodność z polityką UE i ramami prawnymi, dotyczącymi przestrzegania zobowiązań w zakresie praw człowieka, a mianowicie Kartą praw podstawowych Unii Europejskiej, Europejskim Filarem Praw Socjalnych i Strategią na rzecz praw osób niepełnosprawnych 2021-2030.</w:t>
      </w:r>
      <w:r>
        <w:br/>
      </w:r>
      <w:r>
        <w:br/>
        <w:t xml:space="preserve">Projekty realizowane będą zgodnie z: </w:t>
      </w:r>
      <w:r>
        <w:br/>
        <w:t>1. Rozporządzeniem:</w:t>
      </w:r>
      <w:r>
        <w:br/>
        <w:t>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tym z art. 9 w zakresie:</w:t>
      </w:r>
      <w:r>
        <w:br/>
      </w:r>
      <w:r>
        <w:lastRenderedPageBreak/>
        <w:t>• Karty Praw Podstawowych i Konwencji o prawach osób niepełnosprawnych</w:t>
      </w:r>
      <w:r>
        <w:br/>
        <w:t>• zasady równości szans i niedyskryminacji, w tym dostępności osób z niepełnosprawnościami</w:t>
      </w:r>
      <w:r>
        <w:br/>
        <w:t>• zasady równości kobiet i mężczyzn</w:t>
      </w:r>
      <w:r>
        <w:br/>
        <w:t>• zasady zrównoważonego rozwoju oraz zasady nie czyń poważnych szkód (DNSH).</w:t>
      </w:r>
      <w:r>
        <w:br/>
        <w:t xml:space="preserve">b) PARLAMENTU EUROPEJSKIEGO I RADY (UE) 2021/1058 </w:t>
      </w:r>
      <w:r>
        <w:br/>
        <w:t xml:space="preserve">z dnia 24 czerwca 2021 r. w sprawie Europejskiego Funduszu Rozwoju Regionalnego i Funduszu Spójności </w:t>
      </w:r>
      <w:r>
        <w:br/>
        <w:t>2. Ustawą:</w:t>
      </w:r>
      <w:r>
        <w:br/>
        <w:t>a) z dnia 28 kwietnia 2022 r. o zasadach realizacji zadań finansowanych ze środków europejskich w perspektywie finansowej 2021–2027 ze zm.</w:t>
      </w:r>
      <w:r>
        <w:br/>
        <w:t>b) Prawo o szkolnictwie wyższym i nauce z 18 lipca 2018 r. z późn. zmianami</w:t>
      </w:r>
      <w:r>
        <w:br/>
        <w:t>3. Wytycznymi:</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 xml:space="preserve">d) dotyczącymi wyboru projektów na lata 2021-2027 </w:t>
      </w:r>
      <w:r>
        <w:br/>
        <w:t>e) dotyczącymi informacji i promocji Funduszy Europejskich na lata 2021-2027</w:t>
      </w:r>
      <w:r>
        <w:br/>
      </w:r>
      <w:r>
        <w:br/>
        <w:t xml:space="preserve">Kwalifikowalne do dofinansowania będą działania związane z: </w:t>
      </w:r>
      <w:r>
        <w:br/>
        <w:t>1) przebudową, rozbudową, nadbudową lub remontem pomieszczeń w obiektach infrastruktury szkolnictwa wyższego prowadzącego kształcenie na kierunkach medycznych, zwłaszcza na kierunku lekarskim wraz z zapewnieniem wyposażenia oraz dostosowaniem infrastruktury do kształcenia włączającego;</w:t>
      </w:r>
      <w:r>
        <w:br/>
        <w:t>2) budową nowych obiektów służących szkolnictwu wyższemu prowadzącemu kształcenie na kierunkach medycznych, zwłaszcza na kierunku lekarskim, jedynie wyjątkowo i w uzasadnionych przypadkach, kiedy nie będzie możliwości adaptacji lub modernizacji istniejącej infrastruktury lub kiedy byłoby to nieefektywne kosztowo.</w:t>
      </w:r>
      <w:r>
        <w:br/>
      </w:r>
      <w:r>
        <w:br/>
        <w:t>Preferowane mogą być projekty:</w:t>
      </w:r>
      <w:r>
        <w:br/>
        <w:t>1) skierowane na obszary strategicznej interwencji (OSI) wyznaczone w KSRR i wynikające z SR WM 2030+, tj. miast średnich tracących funkcje społeczno-gospodarcze oraz gmin zagrożonych trwałą marginalizacją,</w:t>
      </w:r>
      <w:r>
        <w:br/>
        <w:t>2) realizowane w ramach MSIT lub wynikające z GPR,</w:t>
      </w:r>
      <w:r>
        <w:br/>
        <w:t>3)</w:t>
      </w:r>
      <w:r>
        <w:tab/>
        <w:t>w ramach, których podejmowana jest współpraca międzyregionalna, transgraniczna lub transnarodowa polegająca na wymianie wiedzy i doświadczeń oraz dobrych praktyk w zakresie rozwoju infrastruktury szkolnictwa wyższego,</w:t>
      </w:r>
      <w:r>
        <w:br/>
        <w:t>4)</w:t>
      </w:r>
      <w:r>
        <w:tab/>
        <w:t>spójne z celami Strategii UE dla regionu Morza Bałtyckiego, na rzecz rozwoju innowacyjnej edukacji i młodzieży, w ramach filaru „Wzrost dobrobytu”,</w:t>
      </w:r>
      <w:r>
        <w:br/>
        <w:t>5)</w:t>
      </w:r>
      <w:r>
        <w:tab/>
        <w:t>w ramach, których beneficjent będzie prowadził działania wspierające równość szans kobiet i mężczyzn oraz zapobiegające dyskryminacji w edukacji, polegające m.in. na zwalczaniu stereotypów związanych z płcią i promowaniu przedmiotów STEM zwłaszcza wśród dziewcząt i młodych kobiet.</w:t>
      </w:r>
    </w:p>
    <w:p w14:paraId="577DB2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C257E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85</w:t>
      </w:r>
    </w:p>
    <w:p w14:paraId="15689C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95789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E3685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CBD85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3DC12C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6C4FB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października 2022 r. w sprawie udzielania regionalnej pomocy inwestycyjnej w ramach programów regionalnych na lata 2021–2027 (Dz. U. z 2026 r., poz. 916), Rozporządzenie Ministra Funduszy i Polityki Regionalnej z dnia 17 kwietnia 2024 r. w sprawie udzielania pomocy de minimis w ramach regionalnych programów na lata 2021–2027 (Dz.U. 2024 poz. 598)</w:t>
      </w:r>
    </w:p>
    <w:p w14:paraId="3E013B7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05411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442DC6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B17EF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05A74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93597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810E3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AFF8DA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58EB29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0956D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F86FB9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86EFA2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w:t>
      </w:r>
    </w:p>
    <w:p w14:paraId="648018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213672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Uczelnie</w:t>
      </w:r>
    </w:p>
    <w:p w14:paraId="40C815D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Słowa kluczowe</w:t>
      </w:r>
    </w:p>
    <w:p w14:paraId="56FB01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infrastruktura_szkolnictwa_wyższego, uczelnia</w:t>
      </w:r>
    </w:p>
    <w:p w14:paraId="766E78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70A6085" w14:textId="32C93846"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27" w:history="1">
        <w:r w:rsidRPr="005B2474">
          <w:rPr>
            <w:rStyle w:val="Hipercze"/>
          </w:rPr>
          <w:t>https://funduszeuedlamazowsza.eu/uchwaly-km-fem/</w:t>
        </w:r>
      </w:hyperlink>
    </w:p>
    <w:p w14:paraId="34257E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D72A0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WLWK-PLRO131 - Liczba doposażonych uczelni</w:t>
      </w:r>
    </w:p>
    <w:p w14:paraId="517521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158293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4D66EE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WLWK-PLRO128 - Liczba wspartych uczelni</w:t>
      </w:r>
    </w:p>
    <w:p w14:paraId="00CCB2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WLWK-PLRO129 - Liczba wspartych uczelni pod kątem budowy infrastruktury dydaktycznej i naukowej</w:t>
      </w:r>
    </w:p>
    <w:p w14:paraId="47D79E4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WLWK-PLRO130 - Liczba wspartych uczelni pod kątem przebudowy i rozbudowy infrastruktury dydaktycznej i naukowej</w:t>
      </w:r>
    </w:p>
    <w:p w14:paraId="35DFBF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3C039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6068E4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3303351A"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28" w:name="_Toc237347972"/>
      <w:r>
        <w:rPr>
          <w:rFonts w:ascii="Calibri" w:hAnsi="Calibri" w:cs="Calibri"/>
          <w:i w:val="0"/>
          <w:sz w:val="32"/>
        </w:rPr>
        <w:t>Priorytet FEMA.06 Fundusze Europejskie dla aktywnego zawodowo Mazowsza</w:t>
      </w:r>
      <w:bookmarkEnd w:id="28"/>
    </w:p>
    <w:p w14:paraId="1D18EB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601925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3FC555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10606D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5E5466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66E1383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6936B50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72CCA57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2FF495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5520F6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190 458 826,00</w:t>
      </w:r>
    </w:p>
    <w:p w14:paraId="6C8F4F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50FB99D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146 280 000,00</w:t>
      </w:r>
    </w:p>
    <w:p w14:paraId="5F4A72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462103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23,42</w:t>
      </w:r>
    </w:p>
    <w:p w14:paraId="7B9C61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3954B5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76,58</w:t>
      </w:r>
    </w:p>
    <w:p w14:paraId="01D143F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54281C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1DC9A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70CF31A"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9" w:name="_Toc237347973"/>
      <w:r>
        <w:rPr>
          <w:rFonts w:ascii="Calibri" w:hAnsi="Calibri" w:cs="Calibri"/>
          <w:sz w:val="32"/>
        </w:rPr>
        <w:t>Działanie FEMA.06.01 Aktywizacja zawodowa osób bezrobotnych</w:t>
      </w:r>
      <w:bookmarkEnd w:id="29"/>
    </w:p>
    <w:p w14:paraId="36D7050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1E812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6F1659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47630F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3E59821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AE0D10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131 309 529,00</w:t>
      </w:r>
    </w:p>
    <w:p w14:paraId="6DC09C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1460CE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103 910 997,00</w:t>
      </w:r>
    </w:p>
    <w:p w14:paraId="4769E52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4886D2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134 - Działania na rzecz poprawy dostępu do zatrudnienia, 136 - Wsparcie szczególne na rzecz zatrudnienia ludzi młodych i integracji społeczno-gospodarczej ludzi młodych</w:t>
      </w:r>
    </w:p>
    <w:p w14:paraId="40D000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6BC9D6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 xml:space="preserve">1. Aktywizacja zawodowa osób bezrobotnych przez PUP, w szczególności znajdujących się w trudnej </w:t>
      </w:r>
      <w:r>
        <w:lastRenderedPageBreak/>
        <w:t>sytuacji na rynku pracy tj. osób młodych, długotrwale bezrobotnych, z niepełnosprawnością, z wykształceniem odpowiadającym poziomowi ISCED 3 i niższym, kobiet i osób, które ukończyły 50 lat oraz migrantów.</w:t>
      </w:r>
      <w:r>
        <w:br/>
        <w:t>Wsparciem objęte będą projekty:</w:t>
      </w:r>
      <w:r>
        <w:br/>
        <w:t>Aktywizujące zawodowo osoby bezrobotne zarejestrowane w Powiatowych/Miejskich Urzędach Pracy i realizowane w trybie niekonkurencyjnym.</w:t>
      </w:r>
      <w:r>
        <w:br/>
        <w:t>W odniesieniu do przedsięwzięć wspieranych w ramach ww. typu projektu zastosowanie będą mieć następujące zasady:</w:t>
      </w:r>
      <w:r>
        <w:br/>
        <w:t>Projekty realizowane będą zgodnie z:</w:t>
      </w:r>
      <w:r>
        <w:br/>
        <w:t>1. Rozporządzeniem ogólnym i Rozporządzeniem EFS+:</w:t>
      </w:r>
      <w:r>
        <w:br/>
        <w:t>2. Ustawą:</w:t>
      </w:r>
      <w:r>
        <w:br/>
        <w:t>a) z dnia 28 kwietnia 2022 r. o zasadach realizacji zadań finansowanych ze środków europejskich w perspektywie finansowej 2021–2027 ze zm.</w:t>
      </w:r>
      <w:r>
        <w:br/>
        <w:t>b) z dnia 20 marca 2025 r. o rynku pracy i służbach zatrudnienia.</w:t>
      </w:r>
      <w:r>
        <w:br/>
        <w:t>3. Wytycznymi w szczególności dotyczącymi:</w:t>
      </w:r>
      <w:r>
        <w:br/>
        <w:t>a) kwalifikowalności wydatków na lata 2021-2027,</w:t>
      </w:r>
      <w:r>
        <w:br/>
        <w:t xml:space="preserve">b) realizacji projektów z udziałem środków Europejskiego Funduszu Społecznego Plus w regionalnych programach na lata 2021–2027, </w:t>
      </w:r>
      <w:r>
        <w:br/>
        <w:t>c) realizacji zasad równościowych w ramach funduszy unijnych na lata 2021-2027,</w:t>
      </w:r>
      <w:r>
        <w:br/>
        <w:t xml:space="preserve">d) monitorowania postępu rzeczowego realizacji programów na lata 2021-2027, </w:t>
      </w:r>
      <w:r>
        <w:br/>
        <w:t>e) wyboru projektów na lata 2021-2027</w:t>
      </w:r>
      <w:r>
        <w:br/>
        <w:t>f) informacji i promocji Funduszy Europejskich na lata 2021-2027</w:t>
      </w:r>
      <w:r>
        <w:br/>
        <w:t xml:space="preserve">W typie projektu </w:t>
      </w:r>
      <w:r>
        <w:br/>
        <w:t>•</w:t>
      </w:r>
      <w:r>
        <w:tab/>
        <w:t>Kwalifikowalne do dofinansowania będą działania związane z aktywizowaniem zarejestrowanych osób bezrobotnych z utrudnionym dostępem do rynku pracy, realizowanych przez PUP z terenu województwa mazowieckiego na podstawie ustawy o rynku pracy i służbach zatrudnienia z dnia 20 marca 2025 r., z wyjątkiem robót publicznych, grantów na utworzenie stanowiska pracy zdalnej i pożyczek na rozpoczęcie działalności gospodarczej, w szczególności:</w:t>
      </w:r>
      <w:r>
        <w:br/>
        <w:t xml:space="preserve">1. Diagnozowanie indywidualnej sytuacji uczestników projektów i pomoc w aktywnym poszukiwaniu pracy </w:t>
      </w:r>
      <w:r>
        <w:br/>
        <w:t>Obejmowało ono będzie przeprowadzenie analizy sytuacji zawodowej uczestnika projektu oraz zaplanowanie jego ścieżki kariery w formie Indywidualnego Planu Działań (IPD) oraz diagnozowanie deficytów uczestników projektów w zakresie umiejętności cyfrowych (obowiązkowo dla osób poniżej 30 roku życia). W IPD zostanie określony rodzaj i zakres narzędzi niezbędnych do aktywizacji zawodowej osób objętych wsparciem.</w:t>
      </w:r>
      <w:r>
        <w:br/>
        <w:t xml:space="preserve"> 2. Podnoszenie lub zmianę kwalifikacji zawodowych lub kompetencji osób bezrobotnych oraz ich dopasowanie do potrzeb rynku pracy</w:t>
      </w:r>
      <w:r>
        <w:br/>
        <w:t>Będą one polegały na przeszkoleniu osób bezrobotnych i zapewnieniu im możliwości zdobycia nowych kwalifikacji lub kompetencji zwiększających szanse na zatrudnienie.</w:t>
      </w:r>
      <w:r>
        <w:br/>
        <w:t>3. Pomoc w zdobyciu doświadczenia zawodowego;</w:t>
      </w:r>
      <w:r>
        <w:br/>
        <w:t xml:space="preserve">Będzie polegała na organizowaniu płatnych staży zawodowych u pracodawców na stanowiskach pracy, zgodnie z wymaganymi kwalifikacjami i potrzebami pracodawców. </w:t>
      </w:r>
      <w:r>
        <w:br/>
      </w:r>
      <w:r>
        <w:lastRenderedPageBreak/>
        <w:t>4. Wspieranie samozatrudnienia i powstawania nowych miejsc pracy;</w:t>
      </w:r>
      <w:r>
        <w:br/>
        <w:t>Planuje się udzielanie dotacji bezzwrotnych na założenie działalności gospodarczej połączonej z modułem doradztwa i szkoleń (o ile wynika to z IPD).</w:t>
      </w:r>
      <w:r>
        <w:br/>
        <w:t>5. Wsparcie dla młodzieży:</w:t>
      </w:r>
      <w:r>
        <w:br/>
        <w:t xml:space="preserve">W ramach interwencji realizowane będą działania skierowane do młodzieży w ustawie z dnia 20 marca 2025 r. o rynku pracy i służbach zatrudnienia. </w:t>
      </w:r>
      <w:r>
        <w:br/>
        <w:t>6. Obowiązkowe elementy wsparcia to:</w:t>
      </w:r>
      <w:r>
        <w:br/>
        <w:t>a) przeprowadzenie pogłębionej analizy umiejętności, predyspozycji i problemów zawodowych danego uczestnika projektu zgodnie z wymogami Indywidualnego Planu Działania, o którym mowa w ustawie z dnia 20 marca 2025 r. o rynku pracy i służbach zatrudnienia, w tym umiejętności cyfrowych, zielonych, niezbędnych w zawodach związanych z usługami zdrowotnymi i opiekuńczymi;</w:t>
      </w:r>
      <w:r>
        <w:br/>
        <w:t>b) diagnoza kompetencji cyfrowych przeprowadzona obligatoryjnie w stosunku do osób młodych do 30. r.ż. W przypadku osób powyżej 30 r.ż. diagnoza umiejętności cyfrowych powinna zostać wykonana, o ile taka potrzeba zostanie zidentyfikowana w trakcie opracowywania IPD;</w:t>
      </w:r>
      <w:r>
        <w:br/>
        <w:t xml:space="preserve">c) W ramach  interwencji realizowane będą działania skierowane do młodzieży w ustawie z dnia 20 marca 2025 r. o rynku pracy i służbach zatrudnienia i zgodne z zaleceniem Rady z dnia 30 października 2020 r. w sprawie pomostu do zatrudnienia – wzmocnienia gwarancji dla młodzieży oraz zastępującym zalecenie Rady z dnia 22 kwietnia 2013 r. w sprawie ustanowienia gwarancji dla młodzieży (Dz. Urz. UE C 372 z 04.11.2020) i z polskim Planem Gwarancji dla młodzieży. </w:t>
      </w:r>
      <w:r>
        <w:br/>
        <w:t>Udział osób młodych w projekcie w stosunku do pozostałych uczestników powinien odpowiadać udziałowi osób w wieku poniżej 30 roku życia zarejestrowanych u wnioskodawcy w ostatnim dniu miesiąca poprzedzającego dzień złożenia pierwszej wersji wniosku o dofinansowanie.</w:t>
      </w:r>
      <w:r>
        <w:br/>
        <w:t xml:space="preserve">Niniejszy typ projektu rozliczany jest po rzeczywiście poniesionych kosztach bez kwalifikowania kosztów pośrednich. </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ION w dokumentacji   naboru określi szczegółowe zasady realizacji wsparcia.</w:t>
      </w:r>
      <w:r>
        <w:br/>
        <w:t>•</w:t>
      </w:r>
      <w:r>
        <w:tab/>
        <w:t>Preferowane będą inicjatywy wnoszące wkład do:</w:t>
      </w:r>
      <w:r>
        <w:br/>
        <w:t>1. Podniesienia umiejętności cyfrowych;</w:t>
      </w:r>
      <w:r>
        <w:br/>
        <w:t>2. Przyczyniające się do wzmocnienia lub nabywania ekologicznych umiejętności, tworzenia zielonych miejsc pracy oraz rozwoju zielonej gospodarki;</w:t>
      </w:r>
      <w:r>
        <w:br/>
        <w:t>3. Podniesienia umiejętności niezbędnych z punktu widzenia regionalnych specjalizacji, w tym inteligentnej,</w:t>
      </w:r>
      <w:r>
        <w:br/>
        <w:t>4. Podniesienia umiejętności niezbędnych w zawodach związanych z usługami zdrowotnymi i opiekuńczymi.</w:t>
      </w:r>
    </w:p>
    <w:p w14:paraId="0CF06B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E6019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7CE7A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572C20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52E9C2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CD3A2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0E1145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7923D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Rodziny, Pracy i Polityki Społecznej z dnia 21 listopada 2025 r. w sprawie wniosków i realizacji umów o dofinansowanie podjęcia działalności gospodarczej oraz o refundację kosztów wyposażenia lub doposażenia stanowiska pracy (Dz.U. 2025 poz. 1645)</w:t>
      </w:r>
    </w:p>
    <w:p w14:paraId="504EC33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8A44C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5216DE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25B25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DAA93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63DC61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890F6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C4C3B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RMR; 50% RWS</w:t>
      </w:r>
    </w:p>
    <w:p w14:paraId="639FEC8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94135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25B90B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6FA2E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6DC5C4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ECD4F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356B4D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0984E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1E0BCF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615B1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aktywizacja_zawodowa, Gwarancje_dla_Młodzieży_(GdM), wsparcie_dla_młodych</w:t>
      </w:r>
    </w:p>
    <w:p w14:paraId="493BE2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9739E9A" w14:textId="27216F91"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28" w:history="1">
        <w:r w:rsidRPr="005B2474">
          <w:rPr>
            <w:rStyle w:val="Hipercze"/>
          </w:rPr>
          <w:t>https://funduszeuedlamazowsza.eu/uchwaly-km-fem/</w:t>
        </w:r>
      </w:hyperlink>
    </w:p>
    <w:p w14:paraId="039843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36913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711DCC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1F2F8AE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7DF1B4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WLWK-PLACO01 - Liczba osób, które otrzymały bezzwrotne środki na podjęcie działalności gospodarczej w programie</w:t>
      </w:r>
    </w:p>
    <w:p w14:paraId="3CA7D11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D0C8F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35EC29A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4005E6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3D6F1E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6AF273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  objętych wsparciem w programie</w:t>
      </w:r>
    </w:p>
    <w:p w14:paraId="7236EC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400CE0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4910C2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WLWK-EECO09 - Liczba osób z wykształceniem co najwyżej średnim I stopnia (ISCED 0-2) objętych wsparciem w ramach programu</w:t>
      </w:r>
    </w:p>
    <w:p w14:paraId="22FF5A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WLWK-EECO10 - Liczba osób z wykształceniem na poziomie średnim II stopnia (ISCED 3) lub na poziomie policealnym (ISCED 4) objętych wsparciem w ramach programu</w:t>
      </w:r>
    </w:p>
    <w:p w14:paraId="3935A8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WLWK-EECO11 - Liczba osób z wykształceniem wyższym (ISCED 5-8) objętych wsparciem w ramach programu</w:t>
      </w:r>
    </w:p>
    <w:p w14:paraId="5A7D0F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AC3E4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PROG-FEMAACO01 - Liczba osób w wieku powyżej 50 roku życia objętych wsparciem  w programie</w:t>
      </w:r>
    </w:p>
    <w:p w14:paraId="182076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05FD1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66F830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5A79A7D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82A03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ED74DDB"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0" w:name="_Toc237347974"/>
      <w:r>
        <w:rPr>
          <w:rFonts w:ascii="Calibri" w:hAnsi="Calibri" w:cs="Calibri"/>
          <w:sz w:val="32"/>
        </w:rPr>
        <w:lastRenderedPageBreak/>
        <w:t>Działanie FEMA.06.02 Aktywizacja zawodowa osób młodych przez OHP</w:t>
      </w:r>
      <w:bookmarkEnd w:id="30"/>
    </w:p>
    <w:p w14:paraId="34D29A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E75A0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518F17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98DD6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515FFD2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A7FC7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2 708 121,00</w:t>
      </w:r>
    </w:p>
    <w:p w14:paraId="4304A1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3AEF32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2 031 003,00</w:t>
      </w:r>
    </w:p>
    <w:p w14:paraId="09B309D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48E564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w:t>
      </w:r>
    </w:p>
    <w:p w14:paraId="53919A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3EE26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Aktywizacja zawodowa osób młodych znajdujących się w szczególnej sytuacji na rynku pracy realizowana przez Ochotnicze Hufce Pracy</w:t>
      </w:r>
      <w:r>
        <w:br/>
        <w:t>Wsparciem objęte będą projekty skierowane do młodzieży w wieku od 15 do 18 roku życia oraz do osób z grupy NEET w wieku do 25 roku życia.</w:t>
      </w:r>
      <w:r>
        <w:br/>
        <w:t xml:space="preserve">W odniesieniu do przedsięwzięć wspieranych w ramach ww. typów projektów zastosowanie będą mieć następujące zasady: </w:t>
      </w:r>
      <w:r>
        <w:br/>
        <w:t xml:space="preserve">Projekty realizowane będą zgodnie z: </w:t>
      </w:r>
      <w:r>
        <w:br/>
        <w:t>1. Rozporządzeniem ogólnym i Rozporządzeniem EFS+</w:t>
      </w:r>
      <w:r>
        <w:br/>
        <w:t>2. Ustawą:</w:t>
      </w:r>
      <w:r>
        <w:br/>
        <w:t>a) z dnia 28 kwietnia 2022 r. o zasadach realizacji zadań finansowanych ze środków europejskich w perspektywie finansowej 2021–2027 ze zm.</w:t>
      </w:r>
      <w:r>
        <w:br/>
        <w:t>b) z dnia 20 marca 2025 r. o rynku pracy i służbach zatrudnienia.</w:t>
      </w:r>
      <w:r>
        <w:br/>
        <w:t>3. Wytycznymi w szczególności dotyczącymi:</w:t>
      </w:r>
      <w:r>
        <w:br/>
        <w:t xml:space="preserve">a) kwalifikowalności wydatków na lata 2021-2027, </w:t>
      </w:r>
      <w:r>
        <w:br/>
        <w:t xml:space="preserve">b) realizacji projektów z udziałem środków Europejskiego Funduszu Społecznego Plus w regionalnych programach na lata 2021–2027, </w:t>
      </w:r>
      <w:r>
        <w:br/>
      </w:r>
      <w:r>
        <w:lastRenderedPageBreak/>
        <w:t xml:space="preserve">c) realizacji zasad równościowych w ramach funduszy unijnych na lata 2021-2027,  </w:t>
      </w:r>
      <w:r>
        <w:br/>
        <w:t xml:space="preserve">d) monitorowania postępu rzeczowego realizacji programów na lata 2021-2027, </w:t>
      </w:r>
      <w:r>
        <w:br/>
        <w:t xml:space="preserve">e) wyboru projektów na lata 2021-2027 </w:t>
      </w:r>
      <w:r>
        <w:br/>
        <w:t>f) informacji i promocji Funduszy Europejskich na lata 2021-2027.</w:t>
      </w:r>
      <w:r>
        <w:br/>
        <w:t xml:space="preserve">W typie projektu kwalifikowalne do dofinansowania będą działania w zakresie przygotowania zawodowego osób do 18 roku życia, będących w szczególnej sytuacji  na rynku pracy i osób NEET w wieku 18-25 lat realizowane na podstawie Ustawy z dnia 20 marca 2025 r. o rynku pracy i służbach zatrudnienia i zgodne z zaleceniem Rady z dnia 30 października 2020 r. w sprawie pomostu do zatrudnienia – wzmocnienia gwarancji dla młodzieży oraz zastępującym zalecenie Rady z dnia 22 kwietnia 2013 r. w sprawie ustanowienia gwarancji dla młodzieży (Dz. Urz. UE C 372 z 04.11.2020, str. 1) i z polskim Planem Gwarancji dla młodzieży przez Wojewódzką Mazowiecką Komendę OHP. W interwencji adresatami działań są osoby w wieku 15-18 lat, ze środowisk niewydolnych wychowawczo, mające trudności w realizacji obowiązku szkolnego, oraz osoby NEET w wieku od 18 do 25 r.ż. Osoby NEET stanowić będą nie mniej niż 11% wszystkich osób objętych interwencją OHP. Kwalifikowane będą też działania w ramach realizacji inicjatywy ALMA dla uczestników z grupy NEET osiągających wysokie efekty w projekcie i najbardziej zmotywowanych do polepszenia swojej sytuacji na rynku pacy. Kwalifikowane będą w szczególności:  </w:t>
      </w:r>
      <w:r>
        <w:br/>
        <w:t>1. prowadzenie rekrutacji młodzieży ze środowisk lokalnych do hufców pracy;</w:t>
      </w:r>
      <w:r>
        <w:br/>
        <w:t xml:space="preserve">2. usługi w zakresie wychowania i profilaktyki młodzieży zagrożonej marginalizacją i niedostosowanej społecznie;  </w:t>
      </w:r>
      <w:r>
        <w:br/>
        <w:t>3.  uzupełnienie   wykształcenia ogólnego oraz zdobycia kwalifikacji zawodowych;</w:t>
      </w:r>
      <w:r>
        <w:br/>
        <w:t>4. organizowanie imprez kulturalno-oświatowych, kół zainteresowań, zajęć klubowych oraz innych form spędzania wolnego czasu uwzględniających aspekty aktywizacji zawodowej;</w:t>
      </w:r>
      <w:r>
        <w:br/>
        <w:t>5.organizacja pośrednictwa pracy dla uczestników, absolwentów OHP;</w:t>
      </w:r>
      <w:r>
        <w:br/>
        <w:t>6. współpraca z rodzinami, szkołami, placówkami wychowawczymi, ośrodkami pomocy społecznej, sądami, pracodawcami, poradniami psychologiczno-pedagogicznymi w celu ułatwienia integracji młodzieży ze środowiskiem;</w:t>
      </w:r>
      <w:r>
        <w:br/>
        <w:t>7. usługi w zakresie poradnictwa i informacji zawodowej dla uczestników OHP;</w:t>
      </w:r>
      <w:r>
        <w:br/>
        <w:t xml:space="preserve">8. usługi w zakresie prowadzenia świetlic środowiskowych promujących poradnictwo i informację zawodową;  </w:t>
      </w:r>
      <w:r>
        <w:br/>
        <w:t>9. realizacja przygotowania zawodowego w ramach warsztatów szkoleniowo-produkcyjnych,</w:t>
      </w:r>
      <w:r>
        <w:br/>
        <w:t>10. organizowanie staży zawodowych także w oparciu o instrument ALMA. Za typowanie uczestników do projektu ALMA odpowiada MWK OHP.</w:t>
      </w:r>
      <w:r>
        <w:br/>
        <w:t>11.współpraca z pracodawcami w zakresie przygotowania zawodowego młodocianych.</w:t>
      </w:r>
      <w:r>
        <w:br/>
        <w:t>Obowiązkowe elementy wsparcia to:</w:t>
      </w:r>
      <w:r>
        <w:br/>
        <w:t>a) przeprowadzenie pogłębionej analizy umiejętności, predyspozycji i problemów zawodowych danego uczestnika projektu zgodnie z wymogami Indywidualnego Planu Działania, o którym mowa w ustawie z dnia 20 marca 2025 r. o rynku pracy i służbach zatrudnienia, w tym umiejętności cyfrowych, zielonych, niezbędnych w zawodach związanych z usługami zdrowotnymi i opiekuńczymi.</w:t>
      </w:r>
      <w:r>
        <w:br/>
        <w:t xml:space="preserve">ION w dokumentacji naboru określi szczegółowe zasady realizacji wsparcia.  </w:t>
      </w:r>
      <w:r>
        <w:br/>
        <w:t>• W typie projektu preferowane będą inicjatywy wnoszące wkład do:</w:t>
      </w:r>
      <w:r>
        <w:br/>
        <w:t>1. Podniesienia umiejętności cyfrowych;</w:t>
      </w:r>
      <w:r>
        <w:br/>
      </w:r>
      <w:r>
        <w:lastRenderedPageBreak/>
        <w:t>2. Przyczyniające się do wzmocnienia lub nabywania ekologicznych umiejętności, tworzenia zielonych miejsc pracy oraz rozwoju zielonej gospodarki;</w:t>
      </w:r>
      <w:r>
        <w:br/>
        <w:t>2. Podniesienia umiejętności niezbędnych z punktu widzenia regionalnych specjalizacji, w tym inteligentnej,</w:t>
      </w:r>
      <w:r>
        <w:br/>
        <w:t>3. Podniesienia umiejętności niezbędnych w zawodach związanych z usługami zdrowotnymi i opiekuńczymi.</w:t>
      </w:r>
    </w:p>
    <w:p w14:paraId="323EB1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A26C1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BE5DC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C3D34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430B07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91FD1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74B98D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D648F0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65CFC3A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E91BB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67DDA08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C642F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A8A1C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F76CB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B73863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39F134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 RWS, 15%RMR</w:t>
      </w:r>
    </w:p>
    <w:p w14:paraId="75691C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C7AC7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6D50533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D968C2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38C70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Typ beneficjenta – ogólny</w:t>
      </w:r>
    </w:p>
    <w:p w14:paraId="4DC82D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137F5B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17F1F6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3896182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12A39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aktywizacja_zawodowa, Gwarancje_dla_Młodzieży_(GdM), Ochotnicze_Hufce_Pracy_(OHP), wsparcie_dla_młodych</w:t>
      </w:r>
    </w:p>
    <w:p w14:paraId="7BFD59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160191C" w14:textId="24DFD7EC"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29" w:history="1">
        <w:r w:rsidRPr="005B2474">
          <w:rPr>
            <w:rStyle w:val="Hipercze"/>
          </w:rPr>
          <w:t>https://funduszeuedlamazowsza.eu/uchwaly-km-fem/</w:t>
        </w:r>
      </w:hyperlink>
    </w:p>
    <w:p w14:paraId="1EB020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5D283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57FA8C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41E616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2FF0D7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7DB41B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019830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46760E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3A16F5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WLWK-EECO06 - Liczba osób w wieku poniżej 18 lat objętych wsparciem w programie</w:t>
      </w:r>
    </w:p>
    <w:p w14:paraId="1DC9B3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5E0150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37715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WLWK-EECO09 - Liczba osób z wykształceniem co najwyżej średnim I stopnia (ISCED 0-2) objętych wsparciem w ramach programu</w:t>
      </w:r>
    </w:p>
    <w:p w14:paraId="3A7726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WLWK-EECO10 - Liczba osób z wykształceniem na poziomie średnim II stopnia (ISCED 3) lub na poziomie policealnym (ISCED 4) objętych wsparciem w ramach programu</w:t>
      </w:r>
    </w:p>
    <w:p w14:paraId="08002B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WLWK-EECO11 - Liczba osób z wykształceniem wyższym (ISCED 5-8) objętych wsparciem w ramach programu</w:t>
      </w:r>
    </w:p>
    <w:p w14:paraId="098F768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5FC1EE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2DDF1B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3317A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WLWK-EECR02 - Liczba osób, które podjęły kształcenie lub szkolenie po opuszczeniu programu</w:t>
      </w:r>
    </w:p>
    <w:p w14:paraId="7C38E8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2E4789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097FCB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6B6A6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830EF49"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1" w:name="_Toc237347975"/>
      <w:r>
        <w:rPr>
          <w:rFonts w:ascii="Calibri" w:hAnsi="Calibri" w:cs="Calibri"/>
          <w:sz w:val="32"/>
        </w:rPr>
        <w:t>Działanie FEMA.06.03 Nowoczesne, regionalne służby zatrudnienia</w:t>
      </w:r>
      <w:bookmarkEnd w:id="31"/>
    </w:p>
    <w:p w14:paraId="78587FE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62FF6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p w14:paraId="292077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D87EEA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42DB74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781337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2 325 647,00</w:t>
      </w:r>
    </w:p>
    <w:p w14:paraId="143351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FBB1D9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1 540 000,00</w:t>
      </w:r>
    </w:p>
    <w:p w14:paraId="186B578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90A24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139 - Działania na rzecz modernizacji i wzmocnienia instytucji i służb rynku pracy celem oceny i przewidywania zapotrzebowania na umiejętności oraz zapewnienia terminowej i dopasowanej do potrzeb pomocy</w:t>
      </w:r>
    </w:p>
    <w:p w14:paraId="452BB9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96FF0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  Podnoszenie kompetencji pracowników regionalnych Publicznych Służb Zatrudnienia</w:t>
      </w:r>
      <w:r>
        <w:br/>
        <w:t>2. Wsparcie PSZ w świadczeniu usług w ramach sieci EURES</w:t>
      </w:r>
      <w:r>
        <w:br/>
        <w:t>Wsparciem objęte będą projekty:</w:t>
      </w:r>
      <w:r>
        <w:br/>
        <w:t>Wspierające rozwój kompetencji i kwalifikacji pracowników publicznych służb zatrudnienia wynikających z potrzeb regionalnego rynku pracy zgłaszanych m.in. w ofertach pracy, zapotrzebowaniu na szkolenia, specyfiki stażowych miejsc pracy oraz podnoszących jakość świadczonych usług w ramach sieci EURES.</w:t>
      </w:r>
      <w:r>
        <w:br/>
        <w:t xml:space="preserve">W odniesieniu do przedsięwzięć wspieranych w ramach ww. typów projektów zastosowanie będą mieć następujące zasady: </w:t>
      </w:r>
      <w:r>
        <w:br/>
      </w:r>
      <w:r>
        <w:lastRenderedPageBreak/>
        <w:t xml:space="preserve">Projekty realizowane będą zgodnie z: </w:t>
      </w:r>
      <w:r>
        <w:br/>
        <w:t>1. Rozporządzeniem ogólnym i Rozporządzeniem EFS+</w:t>
      </w:r>
      <w:r>
        <w:br/>
        <w:t>2. Ustawą:</w:t>
      </w:r>
      <w:r>
        <w:br/>
        <w:t>a) z dnia 28 kwietnia 2022 r. o zasadach realizacji zadań finansowanych ze środków europejskich w perspektywie finansowej 2021–2027 ze zm.</w:t>
      </w:r>
      <w:r>
        <w:br/>
        <w:t>b) z dnia 20 marca 2025 r. o rynku pracy i służbach zatrudnienia.</w:t>
      </w:r>
      <w:r>
        <w:br/>
        <w:t>3. Wytycznymi w szczególności dotyczącymi:</w:t>
      </w:r>
      <w:r>
        <w:br/>
        <w:t xml:space="preserve">a) kwalifikowalności wydatków na lata 2021-2027, </w:t>
      </w:r>
      <w:r>
        <w:br/>
        <w:t xml:space="preserve">b) realizacji projektów z udziałem środków Europejskiego Funduszu Społecznego Plus w regionalnych programach na lata 2021–2027, </w:t>
      </w:r>
      <w:r>
        <w:br/>
        <w:t xml:space="preserve">c) realizacji zasad równościowych w ramach funduszy unijnych na lata 2021-2027,  </w:t>
      </w:r>
      <w:r>
        <w:br/>
        <w:t xml:space="preserve">d) monitorowania postępu rzeczowego realizacji programów na lata 2021-2027, </w:t>
      </w:r>
      <w:r>
        <w:br/>
        <w:t xml:space="preserve">e) wyboru projektów na lata 2021-2027 </w:t>
      </w:r>
      <w:r>
        <w:br/>
        <w:t>f) informacji i promocji Funduszy Europejskich na lata 2021-2027.</w:t>
      </w:r>
      <w:r>
        <w:br/>
        <w:t>W typie projektu nr 1</w:t>
      </w:r>
      <w:r>
        <w:br/>
        <w:t xml:space="preserve">Kwalifikowalne do dofinansowania będą działania związane z przygotowaniem regionalnych pracowników PSZ do obsługi zmieniającego się rynku pracy. W szczególności kwalifikowane będą:  </w:t>
      </w:r>
      <w:r>
        <w:br/>
        <w:t>1. szkolenia wykorzystujące zarówno metody tradycyjne jak i nowoczesne techniki takie jak: on job training czyli szkolenie w miejscu pracy, case study, wykłady interaktywne, metody symulacyjne, eksperymenty pozwalające na wcielanie się w różne role zawodowe i bieżące rozwiązywanie trudnych do przewidzenia problemów,</w:t>
      </w:r>
      <w:r>
        <w:br/>
        <w:t>2. warsztaty z zakresu organizowania regionalnych spotkań, giełd i targów pracy</w:t>
      </w:r>
      <w:r>
        <w:br/>
        <w:t>3. warsztaty z zakresu promocji lokalnych inicjatyw w obszarze rynku pracy,</w:t>
      </w:r>
      <w:r>
        <w:br/>
        <w:t>4. warsztaty z zakresu diagnozowania potrzeb interesariuszy regionalnych urzędów pracy,</w:t>
      </w:r>
      <w:r>
        <w:br/>
        <w:t>5. warsztaty z zakresu metod aktywizacyjnych interesariuszy regionalnych urzędów pracy,</w:t>
      </w:r>
      <w:r>
        <w:br/>
        <w:t>6. warsztaty z zakresu promocji równouprawnienia na rynku pracy</w:t>
      </w:r>
      <w:r>
        <w:br/>
        <w:t>7. wizyty studyjne w celu zapoznania się z wiodącymi rozwiązaniami w zakresie obsługi regionalnych rynków pracy oraz diagnozowaniem ich potrzeb.</w:t>
      </w:r>
      <w:r>
        <w:br/>
        <w:t>Obowiązkowe elementy wsparcia to działania mające na celu nabycie przez pracowników PSZ umiejętności w zakresie promowania wśród pracodawców regionalnego rynku pracy rozwiązań wspierających równe traktowanie i niedyskryminację oraz tworzenie sieci międzysektorowych działających na rzecz niedyskryminacji i równouprawnienia.</w:t>
      </w:r>
      <w:r>
        <w:br/>
        <w:t>Za zabezpieczenie przed wystąpieniem ryzyka podwójnego finansowania z programem FERS odpowiada beneficjent poprzez przyjęcie oświadczenia pod rygorem odpowiedzialności karnej za składanie fałszywych oświadczeń o niekorzystaniu przez danego uczestnika z tożsamego wsparcia współfinansowanego z innych źródeł. Pozyskane oświadczenia są następnie weryfikowane przez Beneficjenta poprzez potwierdzenie faktu, że dany uczestnik szkolenia nie korzystał z tożsamego wsparcia na poziomie krajowym w oparciu o własne informacje kadrowe. O powyższej procedurze uczestnik projektu musi zostać poinformowany przez beneficjenta.</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w:t>
      </w:r>
      <w:r>
        <w:lastRenderedPageBreak/>
        <w:t xml:space="preserve">podjęła jakiekolwiek działania dyskryminujące, sprzeczne z zasadami, o których mowa w art. 9 ust. 3 Rozporządzenia ogólnego wsparcie w ramach programu nie może być udzielone. </w:t>
      </w:r>
      <w:r>
        <w:br/>
        <w:t xml:space="preserve">ION w dokumentacji naboru określi szczegółowe zasady realizacji wsparcia.  </w:t>
      </w:r>
      <w:r>
        <w:br/>
        <w:t xml:space="preserve">W typie projektu nr 2 </w:t>
      </w:r>
      <w:r>
        <w:br/>
        <w:t xml:space="preserve">Kwalifikowalne do dofinansowania będą działania związane ze wsparciem instytucjonalnym regionalnych PSZ w świadczeniu usługi EURES. W szczególności kwalifikowane będą działania na rzecz: </w:t>
      </w:r>
      <w:r>
        <w:br/>
        <w:t>• polskich bezrobotnych i poszukujących pracy ze zidentyfikowanych sektorów, branż, zawodów lub kompetencji, w których występuje nadwyżka lub równowaga na wojewódzkim rynku pracy, w znalezieniu zatrudnienia za granicą w państwach UE,</w:t>
      </w:r>
      <w:r>
        <w:br/>
        <w:t>• Polaków przebywających za granicą na terenie państw UE oraz Polaków, którzy w okresie ostatniego roku powrócili z zagranicy z państwa UE ze zidentyfikowanych sektorów rynku pracy, branż, zawodów lub kompetencji, w których występuje deficyt lub równowaga potencjalnych pracowników na terenie województwa (występują trudności w rekrutacji pracowników) w znalezieniu zatrudnienia w Polsce,</w:t>
      </w:r>
      <w:r>
        <w:br/>
        <w:t>• polskich pracodawców w rekrutacji i zatrudnieniu pracowników (bezrobotnych lub poszukujących pracy) przebywających za granicą w państwach UE.</w:t>
      </w:r>
      <w:r>
        <w:br/>
        <w:t xml:space="preserve">Jako podstawowe formy wsparcia kwalifikowane w projekcie przewiduje się między innymi: </w:t>
      </w:r>
      <w:r>
        <w:br/>
        <w:t>1. podnoszenie kompetencji/ kwalifikacji pracowników PSZ realizujących zadania w ramach sieci EURES: młodszych doradców/doradców/starszych doradców do spraw zatrudnienia w PUP oraz doradców EURES i asystentów EURES w WUP, osób nadzorujących pracę asystentów i doradców EURES/ kierowników liniowych EURES.</w:t>
      </w:r>
      <w:r>
        <w:br/>
        <w:t xml:space="preserve">2. wymiana informacji i doświadczeń w obszarze rynku pracy w UE. </w:t>
      </w:r>
      <w:r>
        <w:br/>
        <w:t>3. organizowanie giełd i targów pracy.</w:t>
      </w:r>
      <w:r>
        <w:br/>
        <w:t>4. badania dotyczące migracji unijnych na mazowieckim rynku pracy lub/i badania wspierające świadczenie usług sieci EURES.</w:t>
      </w:r>
      <w:r>
        <w:br/>
        <w:t>5. działania informacyjne i komunikacyjne promujące mobilność na europejskim rynku pracy w krajach UE.</w:t>
      </w:r>
      <w:r>
        <w:br/>
        <w:t>Obowiązkowym elementem wsparcia będą działania mające na celu promocję wśród adresatów usług EURES rozwiązań wspierających równe traktowanie i niedyskryminację na rynku pracy.</w:t>
      </w:r>
      <w:r>
        <w:br/>
        <w:t>Za zabezpieczenie przed wystąpieniem ryzyka podwójnego finansowania z programem FERS i KPO odpowiada beneficjent poprzez przyjęcie oświadczenia pod rygorem odpowiedzialności karnej za składanie fałszywych oświadczeń o niekorzystaniu przez danego uczestnika z tożsamego wsparcia współfinansowanego z innych źródeł. Pozyskane oświadczenia są następnie weryfikowane przez Beneficjenta poprzez potwierdzenie faktu, że dany uczestnik szkolenia nie korzystał z analogicznego wsparcia na poziomie krajowym w oparciu o własne informacje kadrowe. O powyższej procedurze uczestnik projektu musi zostać poinformowany przez beneficjenta. W przypadku braku możliwości weryfikowania oświadczeń o własne informacje kadrowe beneficjent od uczestników wsparcia musi żądać zaświadczeń od aktualnych pracodawców o braku tożsamego wsparcia współfinansowanego z innych źródeł.</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w:t>
      </w:r>
      <w:r>
        <w:lastRenderedPageBreak/>
        <w:t xml:space="preserve">Rozporządzenia ogólnego wsparcie w ramach programu nie może być udzielone. </w:t>
      </w:r>
      <w:r>
        <w:br/>
        <w:t>ION w dokumentacji naboru określi szczegółowe zasady realizacji wsparcia.</w:t>
      </w:r>
    </w:p>
    <w:p w14:paraId="167C56E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B1F8D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474F17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56045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968BF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2799A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3E2BD2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23FA4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4E8749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7149A6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2C73D2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26839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361C83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794AE92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9E065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0A586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 RWS, 15% RMR</w:t>
      </w:r>
    </w:p>
    <w:p w14:paraId="2927BA5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4259E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6242A7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21467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3DD1A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46198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Organizacje społeczne i związki wyznaniowe, Partnerzy społeczni, Służby publiczne</w:t>
      </w:r>
    </w:p>
    <w:p w14:paraId="0F18EE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A8204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Instytucje rynku pracy, Organizacje pozarządowe, Organizacje zrzeszające pracodawców, Związki zawodowe</w:t>
      </w:r>
    </w:p>
    <w:p w14:paraId="7904F2C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DE2E3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aktywizacja_zawodowa, EURES, PSZ, targi</w:t>
      </w:r>
    </w:p>
    <w:p w14:paraId="143722E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24272D3" w14:textId="3D12C2AD"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30" w:history="1">
        <w:r w:rsidRPr="005B2474">
          <w:rPr>
            <w:rStyle w:val="Hipercze"/>
          </w:rPr>
          <w:t>https://funduszeuedlamazowsza.eu/uchwaly-km-fem/</w:t>
        </w:r>
      </w:hyperlink>
    </w:p>
    <w:p w14:paraId="6A3BD5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46764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5D8FF3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767CB3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29017B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38DE20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3C944A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1FFF77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269742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WLWK-PLBCO01 - Liczba pracowników instytucji rynku pracy objętych wsparciem w programie</w:t>
      </w:r>
    </w:p>
    <w:p w14:paraId="13D5CD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C4C78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PROG-FEMABCO01 - Liczba zrealizowanych działań wspierających EURES</w:t>
      </w:r>
    </w:p>
    <w:p w14:paraId="6CB09C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E74D6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735D7C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PROG-FEMABCR01 - Liczba odwiedzin portalu informacyjnego/serwisu internetowego/profilu FB dot. EURES</w:t>
      </w:r>
    </w:p>
    <w:p w14:paraId="647FF9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C9EF987"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2" w:name="_Toc237347976"/>
      <w:r>
        <w:rPr>
          <w:rFonts w:ascii="Calibri" w:hAnsi="Calibri" w:cs="Calibri"/>
          <w:sz w:val="32"/>
        </w:rPr>
        <w:t>Działanie FEMA.06.04 Aktywizacja zawodowa biernych zawodowo kobiet</w:t>
      </w:r>
      <w:bookmarkEnd w:id="32"/>
    </w:p>
    <w:p w14:paraId="19D771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92B3E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EFS+.CP4.C - Wspieranie zrównoważonego pod względem płci uczestnictwa w rynku pracy, równych warunków pracy oraz lepszej równowagi między życiem zawodowym a prywatnym, w tym poprzez </w:t>
      </w:r>
      <w:r>
        <w:lastRenderedPageBreak/>
        <w:t>dostęp do przystępnej cenowo opieki nad dziećmi i osobami wymagającymi wsparcia w codziennym funkcjonowaniu</w:t>
      </w:r>
    </w:p>
    <w:p w14:paraId="0B153A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487FAB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64D463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2F1A2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10 058 822,00</w:t>
      </w:r>
    </w:p>
    <w:p w14:paraId="4AF92D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444B2E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8 550 000,00</w:t>
      </w:r>
    </w:p>
    <w:p w14:paraId="6A916F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86641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 142 - Działania na rzecz promowania aktywności zawodowej kobiet oraz zmniejszenia segregacji na rynku pracy ze względu na płeć</w:t>
      </w:r>
    </w:p>
    <w:p w14:paraId="35EC5F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819EA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projektu: Aktywizacja zawodowa biernych zawodowo kobiet w wieku produkcyjnym w RMR (region mazowiecki regionalny)</w:t>
      </w:r>
      <w:r>
        <w:br/>
        <w:t xml:space="preserve"> W odniesieniu do przedsięwzięć wspieranych w ramach ww. typów projektów zastosowanie będą mieć następujące zasady: </w:t>
      </w:r>
      <w:r>
        <w:br/>
        <w:t xml:space="preserve">Projekty realizowane będą zgodnie z: </w:t>
      </w:r>
      <w:r>
        <w:br/>
        <w:t>1. Rozporządzeniem ogólnym i Rozporządzeniem EFS+</w:t>
      </w:r>
      <w:r>
        <w:br/>
        <w:t>2. Ustawą:</w:t>
      </w:r>
      <w:r>
        <w:br/>
        <w:t>a) z dnia 28 kwietnia 2022 r. o zasadach realizacji zadań finansowanych ze środków europejskich w perspektywie finansowej 2021–2027 ze zm.</w:t>
      </w:r>
      <w:r>
        <w:br/>
        <w:t>3. Wytycznymi, w szczególności dotyczącymi:</w:t>
      </w:r>
      <w:r>
        <w:br/>
        <w:t xml:space="preserve">a) kwalifikowalności wydatków na lata 2021-2027, </w:t>
      </w:r>
      <w:r>
        <w:br/>
        <w:t xml:space="preserve">b) realizacji projektów z udziałem środków Europejskiego Funduszu Społecznego Plus w regionalnych programach na lata 2021–2027, </w:t>
      </w:r>
      <w:r>
        <w:br/>
        <w:t xml:space="preserve">c) realizacji zasad równościowych w ramach funduszy unijnych na lata 2021-2027,  </w:t>
      </w:r>
      <w:r>
        <w:br/>
        <w:t xml:space="preserve">d) monitorowania postępu rzeczowego realizacji programów na lata 2021-2027, </w:t>
      </w:r>
      <w:r>
        <w:br/>
        <w:t xml:space="preserve">e) wyboru projektów na lata 2021-2027. </w:t>
      </w:r>
      <w:r>
        <w:br/>
        <w:t>f) informacji i promocji Funduszy Europejskich na lata 2021-2027.</w:t>
      </w:r>
      <w:r>
        <w:br/>
        <w:t>W tym działaniu realizowane będą przedsięwzięcia dotyczące wzmocnienia świadomości kobiet z terenu RMR o korzyściach płynących z zatrudnienia oraz polegające na zachęcaniu do jego podjęcia. W szczególności będą to:</w:t>
      </w:r>
      <w:r>
        <w:br/>
        <w:t xml:space="preserve">1. przedsięwzięcia dotyczące uczestnictwa w szkoleniu aktywizującym,  </w:t>
      </w:r>
      <w:r>
        <w:br/>
        <w:t xml:space="preserve">2. przedsięwzięcia dotyczące podniesienia/aktualizacji kwalifikacji zawodowych oraz wzmocnienie kompetencji miękkich niezbędnych do poprawy pozycji na rynku pracy, </w:t>
      </w:r>
      <w:r>
        <w:br/>
      </w:r>
      <w:r>
        <w:lastRenderedPageBreak/>
        <w:t>3. przedsięwzięcia dotyczące komponentu doradczego pozwalającego na nawiązanie relacji pomiędzy uczestniczkami projektu, a także na diagnozowanie nisz rynkowych pod kątem profilowania przyszłych aktywności zawodowych,</w:t>
      </w:r>
      <w:r>
        <w:br/>
        <w:t>4. przedsięwzięcia w zakresie budowania i podtrzymywania kontaktów biznesowych z przedstawicielami związków pracodawców.</w:t>
      </w:r>
      <w:r>
        <w:br/>
        <w:t>5. przedsięwzięcia w zakresie metod poszukiwania źródeł finansowania planowanych działalności gospodarczych,</w:t>
      </w:r>
      <w:r>
        <w:br/>
        <w:t>6. przedsięwzięcia w zakresie wzmocnienia kompetencji zawodowych uczestniczek projektu adekwatnie do potrzeb zgłoszonych przez pracodawcę planującego zatrudnienie kobiet, w szczególności na stanowiskach wspierających działania proekologiczne takie jak oszczędność energii i wody, powtórne wykorzystanie zasobów, ograniczenie wpływu na bioróżnorodność,</w:t>
      </w:r>
      <w:r>
        <w:br/>
        <w:t>7. przedsięwzięcia ukierunkowane na podniesienie motywacji do podjęcia zatrudnienia również w formie samozatrudnienia. W tym przypadku przewiduje się udzielenie wsparcia pomostowego w wysokości nie przekraczającej (miesięcznie) minimalnego wynagrodzenia za pracę brutto przez okres maksymalnie 6 miesięcy na pokrycie kosztów prowadzenia działalności, o ile takie wsparcie nie będzie przysługiwało uczestniczce projektu z innego źródła,</w:t>
      </w:r>
      <w:r>
        <w:br/>
        <w:t xml:space="preserve">8.  przedsięwzięcia towarzyszące polegające na refundacji kosztów opieki nad dzieckiem w wieku żłobkowym lub przedszkolnym, lub inną osobą  potrzebującą wsparcia w codziennym funkcjonowaniu, ponoszonych za udokumentowaną i sformalizowaną opiekę (w przypadku opieki nad dzieckiem – w formule instytucjonalnej) przez okres trwania szkolenia, okres poszukiwania zatrudnienia i zatrudnienia, nie dłużej  jednak niż przez 12 miesięcy od rozpoczęcia udziału w projekcie w wysokości nieprzekraczającej (miesięcznie) połowy minimalnego wynagrodzenia za pracę na każde dziecko lub inną osobę potrzebującą wsparcia w codziennym funkcjonowaniu, nie więcej niż na 2 osoby. </w:t>
      </w:r>
      <w:r>
        <w:br/>
        <w:t>Obowiązkowe elementy wsparcia:</w:t>
      </w:r>
      <w:r>
        <w:br/>
        <w:t xml:space="preserve"> a) wykonanie diagnozy sytuacji danego uczestnika projektu na rynku pracy oraz moduł doradczo-szkoleniowy dotyczący równouprawnienia płci na rynku pracy.</w:t>
      </w:r>
      <w:r>
        <w:br/>
        <w:t>Za zapewnienie zabezpieczenia przed wystąpieniem ryzyka podwójnego finansowania odpowiada beneficjent poprzez przyjcie oświadczenia pod rygorem odpowiedzialności karnej za składanie fałszywych oświadczeń o niekorzystaniu przez danego uczestnika z tożsamego wsparcia współfinansowanego z innych źródeł. Pozyskane oświadczenia są następnie weryfikowane przez Beneficjenta poprzez potwierdzenie faktu, że dany uczestnik szkolenia nie korzystał z analogicznego wsparcia na poziomie krajowym. O powyższej procedurze uczestnik projektu musi zostać poinformowany przez beneficjenta.</w:t>
      </w:r>
      <w:r>
        <w:br/>
        <w:t xml:space="preserve">Planowane działanie będzie realizowane na obszarze RMR. Dopuszcza się realizację na terenie RWS, zgodnie z artykułem 63 rozporządzenia ogólnego, jeżeli analiza sytuacji kobiet z niższym wykształceniem zamieszkałych w RWS będzie wykazywać podobne tendencje do sytuacji analogicznej grupy docelowej zamieszkałej na terenie RMR. </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r>
      <w:r>
        <w:lastRenderedPageBreak/>
        <w:t xml:space="preserve">Preferencje punktowe mogą otrzymać projekty: </w:t>
      </w:r>
      <w:r>
        <w:br/>
        <w:t>1.  skierowane na obszary strategicznej interwencji (OSI) wyznaczone w KSRR i wynikające z SR WM 2030+, tj. miast średnich tracących funkcje społeczno-gospodarcze oraz gmin zagrożonych trwałą marginalizacją,</w:t>
      </w:r>
      <w:r>
        <w:br/>
        <w:t>2. realizowane w ramach MSIT lub wynikające z GPR,</w:t>
      </w:r>
      <w:r>
        <w:br/>
        <w:t>3. Projekty ukierunkowane na kobiety w wieku do 30 roku życia.</w:t>
      </w:r>
      <w:r>
        <w:br/>
        <w:t>ION w dokumentacji naboru określi szczegółowe zasady realizacji wsparcia.</w:t>
      </w:r>
    </w:p>
    <w:p w14:paraId="25557B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B6EF6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AE6E3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6B961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0CD1D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7F4287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2CC0CF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BEE91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A52AC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0BB577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4E1820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E9B94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19B94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89971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1AA415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3B9A00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1E17A9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CDA4B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2D87D8C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F937A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67C0C37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9177BA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Organizacje społeczne i związki wyznaniowe, Partnerzy społeczni, Służby publiczne</w:t>
      </w:r>
    </w:p>
    <w:p w14:paraId="44EFA4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387A9C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 Organizacje pozarządowe, Organizacje zrzeszające pracodawców, Związki zawodowe</w:t>
      </w:r>
    </w:p>
    <w:p w14:paraId="52C75DC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56511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aktywizacja_kobiet, aktywizacja_zawodowa</w:t>
      </w:r>
    </w:p>
    <w:p w14:paraId="514DF7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7236A89" w14:textId="52A214C3"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31" w:history="1">
        <w:r w:rsidRPr="005B2474">
          <w:rPr>
            <w:rStyle w:val="Hipercze"/>
          </w:rPr>
          <w:t>https://funduszeuedlamazowsza.eu/uchwaly-km-fem/</w:t>
        </w:r>
      </w:hyperlink>
    </w:p>
    <w:p w14:paraId="64BAD6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EC67F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502375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7B5B0A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6EAC62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WLWK-PLCCO02 - Liczba osób objętych wsparciem w zakresie godzenia życia zawodowego z prywatnym</w:t>
      </w:r>
    </w:p>
    <w:p w14:paraId="66542C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WLWK-PLCCO01 - Liczba osób objętych wsparciem w zakresie równości kobiet i mężczyzn</w:t>
      </w:r>
    </w:p>
    <w:p w14:paraId="464577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720AFF9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2AFCA5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3975DC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799124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503ADA9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CE0F0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WLWK-PLCCR01 - Liczba osób, które podniosły poziom wiedzy w zakresie równości kobiet i mężczyzn dzięki wsparciu w programie</w:t>
      </w:r>
    </w:p>
    <w:p w14:paraId="5C6905F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WLWK-PLCCR02 - Liczba osób znajdujących się w lepszej sytuacji na rynku pracy po opuszczeniu programu</w:t>
      </w:r>
    </w:p>
    <w:p w14:paraId="4415D4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4816150"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3" w:name="_Toc237347977"/>
      <w:r>
        <w:rPr>
          <w:rFonts w:ascii="Calibri" w:hAnsi="Calibri" w:cs="Calibri"/>
          <w:sz w:val="32"/>
        </w:rPr>
        <w:lastRenderedPageBreak/>
        <w:t>Działanie FEMA.06.05 Wsparcie dla pracodawców i pracowników</w:t>
      </w:r>
      <w:bookmarkEnd w:id="33"/>
    </w:p>
    <w:p w14:paraId="427EE5E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94666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EFS+.CP4.D - Wspieranie dostosowania pracowników, przedsiębiorstw i przedsiębiorców do zmian, wspieranie aktywnego i zdrowego starzenia się oraz zdrowego i dobrze dostosowanego środowiska pracy, które uwzględnia zagrożenia dla zdrowia</w:t>
      </w:r>
    </w:p>
    <w:p w14:paraId="3CC3BF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C91BA9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3DB0F2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85C8D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34 825 543,00</w:t>
      </w:r>
    </w:p>
    <w:p w14:paraId="21A5CA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06859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23 748 000,00</w:t>
      </w:r>
    </w:p>
    <w:p w14:paraId="6E4108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FFCC8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 Wsparcie na rzecz przystosowywania pracowników, przedsiębiorstw i przedsiębiorców do zmian, 153 - Metody integracji z rynkiem pracy oraz powrotu na rynek pracy osób znajdujących się w niekorzystnej sytuacji</w:t>
      </w:r>
    </w:p>
    <w:p w14:paraId="2FAA1F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C9129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  Przystosowanie pracowników i przedsiębiorców do zmian</w:t>
      </w:r>
      <w:r>
        <w:br/>
        <w:t>2. Wsparcie pracodawców z sektora prywatnego we wprowadzaniu pracy zdalnej</w:t>
      </w:r>
      <w:r>
        <w:br/>
        <w:t>Wsparciem objęte będą projekty:</w:t>
      </w:r>
      <w:r>
        <w:br/>
        <w:t>Wspierające rozwój kompetencji i kwalifikacji pracodawców pracowników i sektora MMŚP oraz jednostek administracji samorządowej szczebla podstawowego oraz wspierające powstawanie miejsc w ramach pracy zdalnej dla grup osób nieaktywnych zawodowo i będących w szczególnie trudnej sytuacji na rynku pracy</w:t>
      </w:r>
      <w:r>
        <w:br/>
        <w:t xml:space="preserve">W odniesieniu do przedsięwzięć wspieranych w ramach projektu nr 1. zastosowanie będą mieć następujące zasady: </w:t>
      </w:r>
      <w:r>
        <w:br/>
        <w:t xml:space="preserve">Projekty realizowane będą zgodnie z: </w:t>
      </w:r>
      <w:r>
        <w:br/>
        <w:t>1. Rozporządzeniem ogólnym i Rozporządzeniem EFS+</w:t>
      </w:r>
      <w:r>
        <w:br/>
        <w:t>2. Ustawą:</w:t>
      </w:r>
      <w:r>
        <w:br/>
        <w:t>a) z dnia 28 kwietnia 2022 r. o zasadach realizacji zadań finansowanych ze środków europejskich w perspektywie finansowej 2021–2027 ze zm.</w:t>
      </w:r>
      <w:r>
        <w:br/>
        <w:t>3. Wytycznymi, w szczególności dotyczącymi:</w:t>
      </w:r>
      <w:r>
        <w:br/>
        <w:t xml:space="preserve">a) kwalifikowalności wydatków na lata 2021-27, </w:t>
      </w:r>
      <w:r>
        <w:br/>
        <w:t xml:space="preserve">b) realizacji projektów z udziałem środków Europejskiego Funduszu Społecznego Plus w regionalnych programach na lata 2021–27, </w:t>
      </w:r>
      <w:r>
        <w:br/>
      </w:r>
      <w:r>
        <w:lastRenderedPageBreak/>
        <w:t xml:space="preserve">c) realizacji zasad równościowych w ramach funduszy unijnych na lata 2021-27,  </w:t>
      </w:r>
      <w:r>
        <w:br/>
        <w:t xml:space="preserve">d) monitorowania postępu rzeczowego realizacji programów na lata 2021-27, </w:t>
      </w:r>
      <w:r>
        <w:br/>
        <w:t xml:space="preserve">e) wyboru projektów na lata 2021-27 </w:t>
      </w:r>
      <w:r>
        <w:br/>
        <w:t>f) informacji i promocji Funduszy Europejskich na lata 2021-27.</w:t>
      </w:r>
      <w:r>
        <w:br/>
        <w:t>W typie projektu nr 1 kwalifikowane będą:</w:t>
      </w:r>
      <w:r>
        <w:br/>
        <w:t>1.   przedsięwzięcia ukierunkowane na realizację szkoleń kwalifikacyjnych i kompetencyjnych dla pracowników (w tym dla osób powyżej 45 roku życia) i doradztwo dla pracodawców sektora MMŚP i jst. szczebla gminnego. Doradztwo dotyczyć będzie aspektów zarządzania zasobami ludzkimi, w szczególności zarządzania wiekiem.</w:t>
      </w:r>
      <w:r>
        <w:br/>
        <w:t xml:space="preserve">2. przedsięwzięcia kierowane do pracowników kontraktowych zatrudnianych na podstawie przepisów ustawy KC, o ile doprowadzi ono do zmiany formy zatrudnienia na zawartą w ustawie KP. </w:t>
      </w:r>
      <w:r>
        <w:br/>
        <w:t xml:space="preserve">Preferowane będą przedsięwzięcia dotyczące zastosowania w firmach innowacyjnych technologii i narzędzi pracy, wynikających m.in. z RIS, strategii zarządzania wiekiem, zielonej gospodarki i obiegu zamkniętego, białej, srebrnej w związku z tendencją starzenia się społeczeństwa. </w:t>
      </w:r>
      <w:r>
        <w:br/>
      </w:r>
      <w:r>
        <w:br/>
        <w:t>Obowiązkowym elementem wsparcia jest przeprowadzenie modułu doradczo-szkoleniowego dla pracodawców dotyczącego niedyskryminacji oraz równouprawnienia płci na rynku pracy.</w:t>
      </w:r>
      <w:r>
        <w:br/>
        <w:t xml:space="preserve">Zabezpieczenie przed wystąpieniem ryzyka podwójnego finansowania stanowi przyjęcie przez beneficjenta zaświadczenia od pracodawcy pod rygorem zwrotu środków o niekorzystaniu wielokrotnie przez wskazanego pracownika z tożsamego wsparcia (w okresie zatrudnienia pracownika u pracodawcy kierującego na szkolenie/doradztwo). O powyższej procedurze uczestnik projektu musi zostać poinformowany przez beneficjenta.   </w:t>
      </w:r>
      <w:r>
        <w:br/>
        <w:t xml:space="preserve">Po wyczerpaniu alokacji RWS możliwe jest dopuszczenie do realizacji projektu dla RMR podmioty z RWS pod warunkiem stopy współfinansowania na zasadach przewidzianych dla RWS, z założeniem, że wypracowane w projekcie rezultaty zaliczone będą na poczet RMR. </w:t>
      </w:r>
      <w:r>
        <w:br/>
        <w:t>Powyższe musi być poprzedzone zgodą ZWM.</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ION   w dokumentacji naboru określi szczegółowe zasady realizacji wsparcia.</w:t>
      </w:r>
      <w:r>
        <w:br/>
      </w:r>
      <w:r>
        <w:br/>
        <w:t xml:space="preserve">W odniesieniu do przedsięwzięć wspieranych w ramach projektu nr 2. zastosowanie będą mieć następujące zasady: </w:t>
      </w:r>
      <w:r>
        <w:br/>
        <w:t xml:space="preserve">Projekty realizowane będą zgodnie z: </w:t>
      </w:r>
      <w:r>
        <w:br/>
        <w:t>1. Rozporządzeniem ogólnym i Rozporządzeniem EFS+</w:t>
      </w:r>
      <w:r>
        <w:br/>
        <w:t>2. Ustawą:</w:t>
      </w:r>
      <w:r>
        <w:br/>
        <w:t>a) z dnia 28 kwietnia 2022 r. o zasadach realizacji zadań finansowanych ze środków europejskich w perspektywie finansowej 2021–2027 ze zm.</w:t>
      </w:r>
      <w:r>
        <w:br/>
        <w:t>b) z dnia 20 marca 2025 r. o rynku pracy i służbach zatrudnienia.</w:t>
      </w:r>
      <w:r>
        <w:br/>
        <w:t>c) Kodeks Pracy</w:t>
      </w:r>
      <w:r>
        <w:br/>
      </w:r>
      <w:r>
        <w:lastRenderedPageBreak/>
        <w:t>3. Wytycznymi, w szczególności dotyczącymi:</w:t>
      </w:r>
      <w:r>
        <w:br/>
        <w:t xml:space="preserve">a) kwalifikowalności wydatków na lata 2021-2027, </w:t>
      </w:r>
      <w:r>
        <w:br/>
        <w:t xml:space="preserve">b) realizacji projektów z udziałem środków Europejskiego Funduszu Społecznego Plus w regionalnych programach na lata 2021–2027, </w:t>
      </w:r>
      <w:r>
        <w:br/>
        <w:t xml:space="preserve">c) realizacji zasad równościowych w ramach funduszy unijnych na lata 2021-2027,  </w:t>
      </w:r>
      <w:r>
        <w:br/>
        <w:t xml:space="preserve">d) monitorowania postępu rzeczowego realizacji programów na lata 2021-2027, </w:t>
      </w:r>
      <w:r>
        <w:br/>
        <w:t>e) wyboru projektów na lata 2021-2027,</w:t>
      </w:r>
      <w:r>
        <w:br/>
        <w:t>f) informacji i promocji Funduszy Europejskich na lata 2021-2027.</w:t>
      </w:r>
      <w:r>
        <w:br/>
        <w:t>Celem interwencji jest promocja nowoczesnych form świadczenia pracy wśród pracodawców sektora MMŚP, jaką jest praca zdalna.</w:t>
      </w:r>
      <w:r>
        <w:br/>
        <w:t>W interwencji kwalifikowane będą m.in. przedsięwzięcia dotyczące zakupu sprzętu i wyposażenia dla organizowanego miejsca, zakupu licencji, oprogramowania koniecznego do świadczenia pracy zdalnej, szkoleń dla pracownika w zakresie wykonywania pracy zdalnej i zakupionego oprogramowania.</w:t>
      </w:r>
      <w:r>
        <w:br/>
        <w:t>W typie projektu nr 2 kwalifikowane będą przedsięwzięcia zmierzające do podniesienia zdolności adaptacyjnych przedsiębiorstw do zmian zachodzących w otoczeniu społeczno-gospodarczym, także w wyniku sytuacji kryzysowych spowodowanych np. pandemią czy konfliktem zbrojnym w Ukrainie. W  szczególności kwalifikowane będą:</w:t>
      </w:r>
      <w:r>
        <w:br/>
        <w:t>• działania związane z zapewnieniem pracownikowi  niezbędnego sprzętu do wykonywania pracy zdalnej, spełniającego wymagania zgodnie z rozdziałem IV działu dziesiątego KP,</w:t>
      </w:r>
      <w:r>
        <w:br/>
        <w:t>• pokrycie kosztów związanych z instalacją, serwisem, eksploatacją i konserwacją sprzętu,</w:t>
      </w:r>
      <w:r>
        <w:br/>
        <w:t>• zapewnienie pracownikowi wykonującemu pracę w formie zdalnej pomocy technicznej,</w:t>
      </w:r>
      <w:r>
        <w:br/>
        <w:t>• pokrycie przez pracodawcę kosztów mediów niezbędnych do prawidłowego funkcjonowania miejsca pracy zdalnej,</w:t>
      </w:r>
      <w:r>
        <w:br/>
        <w:t>• refundacja dla pracodawcy części kosztów ponoszonych na wynagrodzenia pracownika zatrudnionego na utworzonym miejscu do pracy zdalnej w wysokości minimalnego wynagrodzenia i składki na ubezpieczenie społeczne, przy czym maksymalny okres refundacji wynosi 3 miesiące.</w:t>
      </w:r>
      <w:r>
        <w:br/>
        <w:t>Obowiązkowe elementy wsparcia:</w:t>
      </w:r>
      <w:r>
        <w:br/>
        <w:t>1. W ramach interwencji możliwe będzie tworzenie miejsc do pracy zdalnej dla osób niebędących w zatrudnieniu z grup defaworyzowanych tj.  osób należących do co najmniej jednej z grup:</w:t>
      </w:r>
      <w:r>
        <w:br/>
        <w:t>a) opiekunowie osób potrzebujących wsparcia w codziennym funkcjonowaniu,</w:t>
      </w:r>
      <w:r>
        <w:br/>
        <w:t>b) osoby z niepełnosprawnościami,</w:t>
      </w:r>
      <w:r>
        <w:br/>
        <w:t>c) osoby bezrobotne</w:t>
      </w:r>
      <w:r>
        <w:br/>
        <w:t xml:space="preserve">d) osoby w wieku poprodukcyjnym </w:t>
      </w:r>
      <w:r>
        <w:br/>
        <w:t>2. Wysokość grantu na utworzenie stanowiska pracy zdalnej i czas utrzymania utworzonego miejsca pracy zdalnej jest analogiczny jak dla osób bezrobotnych, zgodnie z art. 144 ustawy z dnia 20 marca 2025 r. o rynku pracy i służbach zatrudnienia.</w:t>
      </w:r>
      <w:r>
        <w:br/>
        <w:t>3. Forma zatrudnienia musi być zgodna z art. 67 (Rozdział IIc Praca zdalna) ustawy z dnia 26 czerwca 1974 r. – Kodeks pracy.</w:t>
      </w:r>
      <w:r>
        <w:br/>
        <w:t>4. Skorzystanie ze wsparcia będzie wiązać się z koniecznością utrzymania utworzonego miejsca pracy przez okres minimum 12 miesięcy.</w:t>
      </w:r>
      <w:r>
        <w:br/>
        <w:t xml:space="preserve">Zabezpieczenie przed wystąpieniem ryzyka podwójnego finansowania stanowi przyjęcie przez beneficjenta oświadczenia od pracodawcy, pod rygorem zwrotu środków o niekorzystaniu przez niego z </w:t>
      </w:r>
      <w:r>
        <w:lastRenderedPageBreak/>
        <w:t xml:space="preserve">tożsamego wsparcia współfinansowanego z innych źródeł. Pozyskane oświadczenia są następnie weryfikowane przez beneficjenta poprzez uzyskanie potwierdzenia faktu, że dany pracodawca nie korzystał z analogicznego wsparcia. O powyższej procedurze pracodawca projektu musi zostać poinformowany przez beneficjenta.  </w:t>
      </w:r>
      <w:r>
        <w:br/>
        <w:t>Po wyczerpaniu alokacji RWS możliwe jest dopuszczenie do realizacji projektu dla RMR podmioty z RWS pod warunkiem stopy współfinansowania na zasadach przewidzianych dla RWS, z założeniem, że wypracowane w projekcie rezultaty zaliczone będą na poczet RMR. Powyższe musi być poprzedzone zgodą ZWM.</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w:t>
      </w:r>
      <w:r>
        <w:tab/>
        <w:t>Preferowane będą projekty w typie projektu 1 i 2:</w:t>
      </w:r>
      <w:r>
        <w:br/>
        <w:t>1. skierowane do osób do 30 roku życia.</w:t>
      </w:r>
      <w:r>
        <w:br/>
        <w:t>ION   w dokumentacji naboru określi szczegółowe zasady realizacji wsparcia.</w:t>
      </w:r>
    </w:p>
    <w:p w14:paraId="57F971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78F7A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661F0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6666E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29CA50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E732B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735B64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4378B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31F09F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72682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1B6D0A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12F8EB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88315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cross-financing (%)</w:t>
      </w:r>
    </w:p>
    <w:p w14:paraId="37E204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4D481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177D44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 RWS, 15% RMR</w:t>
      </w:r>
    </w:p>
    <w:p w14:paraId="3BB2C1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3A2F4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2D7FCC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ACD9C8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CFA0E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012E3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Organizacje społeczne i związki wyznaniowe, Partnerzy społeczni, Przedsiębiorstwa, Służby publiczne</w:t>
      </w:r>
    </w:p>
    <w:p w14:paraId="6FA738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D288D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otoczenia biznesu, Instytucje rynku pracy, Organizacje pozarządowe, Organizacje zrzeszające pracodawców</w:t>
      </w:r>
    </w:p>
    <w:p w14:paraId="17D62F8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EE9E6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baza_usług_rozwojowych, elastyczne_miejsca_pracy, szkolenia</w:t>
      </w:r>
    </w:p>
    <w:p w14:paraId="3E4F8A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C8B82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5F0743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4B23EA8" w14:textId="32E5856C"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32" w:history="1">
        <w:r w:rsidRPr="005B2474">
          <w:rPr>
            <w:rStyle w:val="Hipercze"/>
          </w:rPr>
          <w:t>https://funduszeuedlamazowsza.eu/uchwaly-km-fem/</w:t>
        </w:r>
      </w:hyperlink>
    </w:p>
    <w:p w14:paraId="351A84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55087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WLWK-PLDCO01 - Liczba mikro-, małych i średnich przedsiębiorstw (w tym spółdzielni i przedsiębiorstw społecznych) objętych usługami rozwojowymi</w:t>
      </w:r>
    </w:p>
    <w:p w14:paraId="0D6D39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32452C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22CE4A5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5F0615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768A8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550BDE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WLWK-EECO16 - Liczba osób w kryzysie bezdomności lub dotkniętych wykluczeniem z dostępu do mieszkań, objętych wsparciem w programie</w:t>
      </w:r>
    </w:p>
    <w:p w14:paraId="436549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1FD1AAE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4995C3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WLWK-PLDCO03 - Liczba podmiotów innych niż przedsiębiorstwa objętych usługami rozwojowymi</w:t>
      </w:r>
    </w:p>
    <w:p w14:paraId="117D851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WLWK-PLDCO07 - Liczba pracodawców objętych wsparciem dotyczącym  poprawy środowiska pracy</w:t>
      </w:r>
    </w:p>
    <w:p w14:paraId="1767D2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WLWK-PLDCO04 - Liczba pracowników mikro-, małych i średnich przedsiębiorstw (w tym spółdzielni i przedsiębiorstw społecznych) objętych usługą rozwojową</w:t>
      </w:r>
    </w:p>
    <w:p w14:paraId="0507DCA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19A7CF2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5C3BE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516298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WLWK-PLDCR02 - Liczba osób, które w wyniku realizacji wsparcia z zakresu  outplacementu/poprawy środowiska pracy podjęły pracę lub kontynuowały zatrudnienie</w:t>
      </w:r>
    </w:p>
    <w:p w14:paraId="4E858C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46F3041"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4" w:name="_Toc237347978"/>
      <w:r>
        <w:rPr>
          <w:rFonts w:ascii="Calibri" w:hAnsi="Calibri" w:cs="Calibri"/>
          <w:sz w:val="32"/>
        </w:rPr>
        <w:t>Działanie FEMA.06.06 Zdrowie pracowników</w:t>
      </w:r>
      <w:bookmarkEnd w:id="34"/>
    </w:p>
    <w:p w14:paraId="689B1E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1F4D6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EFS+.CP4.D - Wspieranie dostosowania pracowników, przedsiębiorstw i przedsiębiorców do zmian, wspieranie aktywnego i zdrowego starzenia się oraz zdrowego i dobrze dostosowanego środowiska pracy, które uwzględnia zagrożenia dla zdrowia</w:t>
      </w:r>
    </w:p>
    <w:p w14:paraId="48E124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05289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79762C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5A8E7C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4 176 471,00</w:t>
      </w:r>
    </w:p>
    <w:p w14:paraId="7BD003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62F834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2 500 000,00</w:t>
      </w:r>
    </w:p>
    <w:p w14:paraId="17CC1B8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C48D0B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147 - Działania zachęcające do aktywnego starzenia się w dobrym zdrowiu</w:t>
      </w:r>
    </w:p>
    <w:p w14:paraId="607B47E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4816F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r>
      <w:r>
        <w:lastRenderedPageBreak/>
        <w:t>Wdrażanie programów służących przeciwdziałaniu dezaktywacji zawodowej oraz aktywnemu i zdrowemu starzeniu się</w:t>
      </w:r>
      <w:r>
        <w:br/>
        <w:t>Wsparciem objęte będą projekty zapobiegające ryzykom zdrowotnym w miejscu pracy, negatywnie wpływającym na aktywność zawodową jak również sprzyjające aktywnemu i zdrowemu starzeniu, w tym programy profilaktyczne w zakresie chorób wynikających z ryzyk w miejscu pracy, jak również programy rehabilitacji (w tym fizjoterapii) schorzeń stanowiących główne przyczyny niezdolności do pracy. Planowane są w szczególności działania:</w:t>
      </w:r>
      <w:r>
        <w:br/>
        <w:t>1.</w:t>
      </w:r>
      <w:r>
        <w:tab/>
        <w:t>skierowane do pracodawców i pracowników na rzecz zdrowia w pracy, w tym zdrowia psychicznego z uwzględnieniem m.in. profilaktyki wypalenia zawodowego, jak również programów profilaktycznych chorób związanych z miejscem pracy i usług zdrowotnych dla pracowników potrzebujących rehabilitacji ułatwiającej powrót do pracy,</w:t>
      </w:r>
      <w:r>
        <w:br/>
        <w:t>2.</w:t>
      </w:r>
      <w:r>
        <w:tab/>
        <w:t>promujące zdrowe i dobrze przystosowane środowisko pracy oraz eliminujące szkodliwe dla zdrowia zachowania w miejscu pracy,</w:t>
      </w:r>
      <w:r>
        <w:br/>
        <w:t>3.</w:t>
      </w:r>
      <w:r>
        <w:tab/>
        <w:t>ograniczające i eliminujące zagrożenia dla zdrowia w miejscu pracy wynikające z uwarunkowań zawodowych i środowiskowych (np. narażenie na substancje zanieczyszczone, rakotwórcze i toksyczne), które są powiązane z chorobami, w tym nowotworami,</w:t>
      </w:r>
      <w:r>
        <w:br/>
        <w:t>4.</w:t>
      </w:r>
      <w:r>
        <w:tab/>
        <w:t>wspierające rekrutację, powrót do pracy, utrzymanie pracy osób po przebytych chorobach, z chorobami przewlekłymi lub rzadkimi, z niepełnosprawnością lub zaburzeniami zdrowia psychicznego.</w:t>
      </w:r>
      <w:r>
        <w:br/>
        <w:t xml:space="preserve">Wdrażane programy przyczynią się do ograniczenia absencji </w:t>
      </w:r>
      <w:r>
        <w:br/>
        <w:t>chorobowych oraz ryzyka utraty pracy, do ułatwienia powrotów na rynek pracy, a także do dłuższego życia w zdrowiu.</w:t>
      </w:r>
      <w:r>
        <w:br/>
        <w:t xml:space="preserve">W odniesieniu do przedsięwzięć wspieranych w ramach ww. działań zastosowanie będą mieć następujące zasady: </w:t>
      </w:r>
      <w:r>
        <w:br/>
        <w:t>Interwencja w obszarze zdrowia będzie podlegała uzgodnieniom na forum Komitetu Sterującego ds. Zdrowia, zgodnie z przyjętym systemem koordynacji i będzie uwzględniała obligatoryjne rekomendacje KS.</w:t>
      </w:r>
      <w:r>
        <w:br/>
        <w:t xml:space="preserve">Kwalifikowalne do dofinansowania będą działania dotyczące: </w:t>
      </w:r>
      <w:r>
        <w:br/>
        <w:t>•</w:t>
      </w:r>
      <w:r>
        <w:tab/>
        <w:t>profilaktyki kierowanej do osób zatrudnionych,</w:t>
      </w:r>
      <w:r>
        <w:br/>
        <w:t>•</w:t>
      </w:r>
      <w:r>
        <w:tab/>
        <w:t>rehabilitacji medycznej ułatwiającej powrót do pracy lub utrzymanie zatrudnienia,</w:t>
      </w:r>
      <w:r>
        <w:br/>
        <w:t>•</w:t>
      </w:r>
      <w:r>
        <w:tab/>
        <w:t>eliminowania czynników ryzyka dla zdrowia występujących w miejscu pracy.</w:t>
      </w:r>
      <w:r>
        <w:br/>
        <w:t>Formuła Regionalnych Programów Zdrowotnych (RPZ) będzie stosowana zgodnie z wytycznymi MFiPR dotyczącymi realizacji projektów z udziałem środków EFS+ w obszarze zdrowia.</w:t>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p>
    <w:p w14:paraId="24980B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UE w projekcie</w:t>
      </w:r>
    </w:p>
    <w:p w14:paraId="77EEE9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389FD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FC2C1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6D96705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F61CD3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260BB0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980A95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Funduszy i Polityki Regionalnej z dnia 20 grudnia 2022 r. w sprawie udzielania pomocy de minimis oraz pomocy publicznej w ramach programów finansowanych z Europejskiego Funduszu Społecznego Plus (EFS+) na lata 2021–2027 (Dz.U. 2025 poz. 37)</w:t>
      </w:r>
    </w:p>
    <w:p w14:paraId="47EDA7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34F2A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F1791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625D82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4E234D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5132D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3BCAFC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5490B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E3964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ADE36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9D598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2552F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Organizacje społeczne i związki wyznaniowe, Osoby fizyczne, Partnerzy społeczni, Przedsiębiorstwa</w:t>
      </w:r>
    </w:p>
    <w:p w14:paraId="390908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A92D8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profilaktyka, rehabilitacja_medyczna, zdrowie</w:t>
      </w:r>
    </w:p>
    <w:p w14:paraId="5E8BD5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58C3A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5FB29D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2442A33" w14:textId="3BE2EEDB"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33" w:history="1">
        <w:r w:rsidRPr="005B2474">
          <w:rPr>
            <w:rStyle w:val="Hipercze"/>
          </w:rPr>
          <w:t>https://funduszeuedlamazowsza.eu/uchwaly-km-fem/</w:t>
        </w:r>
      </w:hyperlink>
    </w:p>
    <w:p w14:paraId="6C13CD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EBEB1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4A05F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178120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4FD3D0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C0220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48B363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5096F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WLWK-PLDCO08  - Liczba osób objętych wsparciem w obszarze zdrowia</w:t>
      </w:r>
    </w:p>
    <w:p w14:paraId="7609E6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74D586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3E9D29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2E4A9DC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  objętych wsparciem w programie</w:t>
      </w:r>
    </w:p>
    <w:p w14:paraId="7F92AB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38BF16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15BBE0A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3A755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WLWK-PLDKCO01 - Liczba wdrożonych programów polityki zdrowotnej</w:t>
      </w:r>
    </w:p>
    <w:p w14:paraId="25888EC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2DA62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WLWK-PLDCR03 - Liczba osób, które dzięki wsparciu w obszarze zdrowia podjęły pracę lub kontynuowały zatrudnienie</w:t>
      </w:r>
    </w:p>
    <w:p w14:paraId="0F0A4B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9098203"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5" w:name="_Toc237347979"/>
      <w:r>
        <w:rPr>
          <w:rFonts w:ascii="Calibri" w:hAnsi="Calibri" w:cs="Calibri"/>
          <w:sz w:val="32"/>
        </w:rPr>
        <w:t>Działanie FEMA.06.07 Kompleksowe wsparcie dla osób młodych</w:t>
      </w:r>
      <w:bookmarkEnd w:id="35"/>
    </w:p>
    <w:p w14:paraId="1CCD75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12068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234CD33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54FCF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71C534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569C22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5 054 693,00</w:t>
      </w:r>
    </w:p>
    <w:p w14:paraId="3549B1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72E2D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4 000 000,00</w:t>
      </w:r>
    </w:p>
    <w:p w14:paraId="719CB31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38FBC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w:t>
      </w:r>
    </w:p>
    <w:p w14:paraId="5C3861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A02DD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Kompleksowe wsparcie dla osób młodych pozostających bez zatrudnienia.</w:t>
      </w:r>
      <w:r>
        <w:br/>
        <w:t>Wsparciem objęte będą projekty przewidujące kompleksową aktywizację osób młodych poniżej 30 r.ż. będących klientami PUP, realizowane zgodnie z zasadami Planu gwarancji dla młodzieży.</w:t>
      </w:r>
      <w:r>
        <w:br/>
        <w:t>W odniesieniu do przedsięwzięć wspieranych w ramach ww. typu projektu zastosowanie będą mieć następujące zasady:</w:t>
      </w:r>
      <w:r>
        <w:br/>
        <w:t>Projekty realizowane będą zgodnie z:</w:t>
      </w:r>
      <w:r>
        <w:br/>
        <w:t>1. Rozporządzeniem ogólnym i Rozporządzeniem EFS+:</w:t>
      </w:r>
      <w:r>
        <w:br/>
        <w:t>2. Ustawą:</w:t>
      </w:r>
      <w:r>
        <w:br/>
        <w:t>a) z dnia 28 kwietnia 2022 r. o zasadach realizacji zadań finansowanych ze środków europejskich w perspektywie finansowej 2021–2027 ze zm.,</w:t>
      </w:r>
      <w:r>
        <w:br/>
        <w:t>b) z dnia 20 marca 2025 r. o rynku pracy i służbach zatrudnienia.</w:t>
      </w:r>
      <w:r>
        <w:br/>
        <w:t>3. Wytycznymi w szczególności dotyczącymi:</w:t>
      </w:r>
      <w:r>
        <w:br/>
        <w:t>a) kwalifikowalności wydatków na lata 2021-2027,</w:t>
      </w:r>
      <w:r>
        <w:br/>
        <w:t xml:space="preserve">b) realizacji projektów z udziałem środków Europejskiego Funduszu Społecznego Plus w regionalnych programach na lata 2021–2027, </w:t>
      </w:r>
      <w:r>
        <w:br/>
        <w:t>c) realizacji zasad równościowych w ramach funduszy unijnych na lata 2021-2027,</w:t>
      </w:r>
      <w:r>
        <w:br/>
        <w:t xml:space="preserve">d) monitorowania postępu rzeczowego realizacji programów na lata 2021-2027, </w:t>
      </w:r>
      <w:r>
        <w:br/>
        <w:t>e) wyboru projektów na lata 2021-2027,</w:t>
      </w:r>
      <w:r>
        <w:br/>
        <w:t>f) informacji i promocji Funduszy Europejskich na lata 2021-2027.</w:t>
      </w:r>
      <w:r>
        <w:br/>
        <w:t xml:space="preserve">W typie projektu kwalifikowalne do dofinansowania będą działania związane z aktywizowaniem osób </w:t>
      </w:r>
      <w:r>
        <w:lastRenderedPageBreak/>
        <w:t>młodych w wieku 18-29 lat, będących klientami PUP z terenu województwa mazowieckiego, w szczególności:</w:t>
      </w:r>
      <w:r>
        <w:br/>
        <w:t>1. Diagnozowanie indywidualnej sytuacji uczestników projektów i doradztwo zawodowe</w:t>
      </w:r>
      <w:r>
        <w:br/>
        <w:t xml:space="preserve">Obejmowało ono będzie przeprowadzenie analizy sytuacji uczestnika projektu oraz zaplanowanie jego ścieżki rozwoju osobistego w formie Indywidualnego Planu Działań (IPD), w tym diagnozy deficytów uczestnika w zakresie umiejętności cyfrowych. W IPD zostanie określony rodzaj i zakres narzędzi niezbędnych do kompleksowej aktywizacji osób objętych wsparciem. </w:t>
      </w:r>
      <w:r>
        <w:br/>
      </w:r>
      <w:r>
        <w:br/>
        <w:t>2. Podnoszenie lub zmiana kwalifikacji zawodowych lub kompetencji osób młodych oraz ich przygotowanie do wejścia na rynek pracy</w:t>
      </w:r>
      <w:r>
        <w:br/>
        <w:t>Beneficjenci w projektach będą mogli oferować szkolenia dobrane indywidualnie do potrzeb uczestnika, m.in.: zawodowe, motywacyjne, aktywizacyjne (np. wzmocnienie kompetencji miękkich, szkolenia dot. podniesienia pewności siebie), szkolenia rozwijające kompetencje cyfrowe, wsparcie w postaci bonów na kształcenie ustawiczne.</w:t>
      </w:r>
      <w:r>
        <w:br/>
        <w:t>Wsparcie szkoleniowe będzie obejmowało zdobywanie kwalifikacji/kompetencji niezbędnych/ poszukiwanych w szczególności w obszarach: zielonej gospodarki, białej gospodarki, gospodarki o obiegu zamkniętym, inteligentnych regionalnych specjalizacji.</w:t>
      </w:r>
      <w:r>
        <w:br/>
        <w:t xml:space="preserve">3. Pomoc w zdobyciu doświadczenia zawodowego i aktywnym poszukiwaniu pracy </w:t>
      </w:r>
      <w:r>
        <w:br/>
        <w:t xml:space="preserve">będzie polegała na objęciu uczestnika projektu usługą pośrednictwa pracy, organizowaniu płatnych staży zawodowych oraz subsydiowanego zatrudnienia, zgodnie z kwalifikacjami uczestników i potrzebami pracodawców. Wsparcie nie przewiduje udzielania dotacji na założenie działalności gospodarczej (osoby planujące podjęcie zatrudnienia w formie działalności gospodarczej będą kierowane na podstawie IPD do projektów realizowanych w ramach Działania 6.1). </w:t>
      </w:r>
      <w:r>
        <w:br/>
        <w:t>4. Możliwe będzie otrzymanie wsparcia w postaci kontaktu z doradcą zawodowym przez okres 2 miesięcy po zakończonym stażu lub pracach interwencyjnych. Celem tego wsparcia będzie m.in. określenie sytuacji zawodowej uczestnika projektu, utrzymanie jego motywacji do pracy czy też udzielenie informacji o możliwościach skorzystania z pomocy instytucji publicznych w zakresie rozwiązania jego problemów;</w:t>
      </w:r>
      <w:r>
        <w:br/>
        <w:t>5. Wsparcie psychologiczno-coachingowe w pierwszym okresie zatrudnienia</w:t>
      </w:r>
      <w:r>
        <w:br/>
        <w:t xml:space="preserve">W praktycznej nauce funkcjonowania w miejscu pracy ważne będzie wsparcie psychologiczne oraz wsparcie coacha/mentora w trakcie stażu lub subsydiowanego zatrudnienia, jeżeli z IPD będzie wynikała taka potrzeba. Będą oni pomagać uczestnikom rozwiązywać problemy wynikające z innego podejścia osób młodych do pracy (np. inny etos pracy, dążenie do zachowania równowagi między życiem zawodowym a prywatnym) czy też potrzeb w zakresie zdrowia psychicznego (np. w związku ze stanami depresyjnymi lub uzależnieniami, np. od gier komputerowych czy używek). </w:t>
      </w:r>
      <w:r>
        <w:br/>
        <w:t>6. Przedsięwzięcia towarzyszące:</w:t>
      </w:r>
      <w:r>
        <w:br/>
        <w:t>- uzupełniające wsparcie aktywizacyjne na przykład opracowanie profesjonalnego CV, sesja zdjęciowa z poradą stylisty, itp.,</w:t>
      </w:r>
      <w:r>
        <w:br/>
        <w:t>- koszty dojazdów uczestnika tam i z powrotem na miejsce realizacji wsparcia;</w:t>
      </w:r>
      <w:r>
        <w:br/>
        <w:t>- refundacja kosztów opieki nad dziećmi do lat 3 (zgodnie z Wytycznymi realizacji projektów z udziałem środków Europejskiego Funduszu Społecznego Plus) w przypadku braku możliwości skorzystania ze standardowych usług oferowanych w instytucjonalnych formach opieki,</w:t>
      </w:r>
      <w:r>
        <w:br/>
      </w:r>
      <w:r>
        <w:lastRenderedPageBreak/>
        <w:t>- bony na zasiedlenie.</w:t>
      </w:r>
      <w:r>
        <w:br/>
        <w:t>7. Obowiązkowe elementy wsparcia:</w:t>
      </w:r>
      <w:r>
        <w:br/>
        <w:t>a) przeprowadzenie pogłębionej analizy umiejętności, predyspozycji i problemów zawodowych danego uczestnika projektu zgodnie z wymogami Indywidualnego Planu Działania, o którym mowa w ustawie z dnia 20 marca 2025 r. o rynku pracy i służbach zatrudnienia;</w:t>
      </w:r>
      <w:r>
        <w:br/>
        <w:t xml:space="preserve">b) W ramach interwencji realizowane będą działania skierowane do młodzieży w ustawie z dnia 20 marca 2025 r. o rynku pracy i służbach zatrudnienia i zgodne z zaleceniem Rady z dnia 30 października 2020 r. w sprawie pomostu do zatrudnienia – wzmocnienia gwarancji dla młodzieży oraz zastępującym zalecenie Rady z dnia 22 kwietnia 2013 r. w sprawie ustanowienia gwarancji dla młodzieży (Dz. Urz. UE C 372 z 04.11.2020) i z polskim Planem Gwarancji dla młodzieży. </w:t>
      </w:r>
      <w:r>
        <w:br/>
        <w:t>Za zapewnienie zabezpieczenia przed wystąpieniem ryzyka podwójnego finansowania odpowiada Beneficjent poprzez przyjęcie oświadczenia pod rygorem odpowiedzialności karnej za składanie fałszywych oświadczeń o niekorzystaniu przez danego uczestnika z tożsamego wsparcia współfinansowanego z innych źródeł. Pozyskane oświadczenia są następnie weryfikowane przez Beneficjenta poprzez potwierdzenie faktu, że dany uczestnik szkolenia nie korzystał z analogicznego wsparcia. O powyższej procedurze uczestnik projektu musi zostać poinformowany przez Beneficjenta.</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ION w dokumentacji naboru określi szczegółowe zasady realizacji wsparcia.</w:t>
      </w:r>
      <w:r>
        <w:br/>
        <w:t xml:space="preserve"> </w:t>
      </w:r>
      <w:r>
        <w:br/>
        <w:t>•</w:t>
      </w:r>
      <w:r>
        <w:tab/>
        <w:t>Preferowane będą inicjatywy wnoszące wkład do:</w:t>
      </w:r>
      <w:r>
        <w:br/>
        <w:t xml:space="preserve"> 1. Podniesienia umiejętności cyfrowych;</w:t>
      </w:r>
      <w:r>
        <w:br/>
        <w:t xml:space="preserve"> 2. Przyczyniające się do wzmocnienia lub nabywania ekologicznych umiejętności, tworzenia zielonych miejsc pracy oraz rozwoju zielonej gospodarki;</w:t>
      </w:r>
      <w:r>
        <w:br/>
        <w:t xml:space="preserve"> 3. Podniesienia umiejętności niezbędnych z punktu widzenia regionalnych specjalizacji, w tym inteligentnej,</w:t>
      </w:r>
      <w:r>
        <w:br/>
        <w:t>4. Podniesienia umiejętności niezbędnych w zawodach związanych z usługami zdrowotnymi i opiekuńczymi.</w:t>
      </w:r>
      <w:r>
        <w:br/>
        <w:t>•</w:t>
      </w:r>
      <w:r>
        <w:tab/>
        <w:t>Preferencje punktowe mogą być stosowane w projektach realizowanych na terenie powiatów o największej stopie bezrobocia wśród osób młodych, najniższym odsetku osób młodych aktywnych zawodowo lub najniższym odsetku przedsiębiorczości wśród osób młodych.</w:t>
      </w:r>
    </w:p>
    <w:p w14:paraId="5AF74B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C254B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DD5EE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330D0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85</w:t>
      </w:r>
    </w:p>
    <w:p w14:paraId="72BCF2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5A1DE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Komisji (UE) 2023/2831 z dnia 13 grudnia 2023 r. w sprawie stosowania art. 107 i 108 Traktatu o funkcjonowaniu Unii Europejskiej do pomocy de minimis (Dz. Urz. UE L z 15.12.2023)</w:t>
      </w:r>
    </w:p>
    <w:p w14:paraId="3DDF51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B4CE4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Ustawa z dnia 20 marca 2025 r. o rynku pracy i służbach zatrudnienia (Dz.U. 2025 poz. 620)</w:t>
      </w:r>
    </w:p>
    <w:p w14:paraId="0FF7A0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9D656F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1ED378E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1D320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B95604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7C9B32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8DDCC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00158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RMR, 50% RWS</w:t>
      </w:r>
    </w:p>
    <w:p w14:paraId="6EB379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6558E7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4B4713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0C86A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3AFF2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FE549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0A2F0C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A01B3E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3E60C2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1066BE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aktywizacja_zawodowa, Gwarancje_dla_Młodzieży_(GdM), wsparcie_dla_młodych</w:t>
      </w:r>
    </w:p>
    <w:p w14:paraId="0E6552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01363AF" w14:textId="6E79C416"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34" w:history="1">
        <w:r w:rsidRPr="005B2474">
          <w:rPr>
            <w:rStyle w:val="Hipercze"/>
          </w:rPr>
          <w:t>https://funduszeuedlamazowsza.eu/uchwaly-km-fem/</w:t>
        </w:r>
      </w:hyperlink>
    </w:p>
    <w:p w14:paraId="62E4193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3A97C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781CE2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WLWK-EECO02 - Liczba osób bezrobotnych, w tym długotrwale bezrobotnych, objętych wsparciem w programie</w:t>
      </w:r>
    </w:p>
    <w:p w14:paraId="072847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2F5808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5F48F05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C399E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19941D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62342B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68106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1EDE85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59C151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685A2DF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6A2B2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0AA99A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79FC0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36AADC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53C7ED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37F23C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63013C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416CA11E"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36" w:name="_Toc237347980"/>
      <w:r>
        <w:rPr>
          <w:rFonts w:ascii="Calibri" w:hAnsi="Calibri" w:cs="Calibri"/>
          <w:i w:val="0"/>
          <w:sz w:val="32"/>
        </w:rPr>
        <w:t>Priorytet FEMA.07 Fundusze Europejskie dla nowoczesnej i dostępnej edukacji na Mazowszu</w:t>
      </w:r>
      <w:bookmarkEnd w:id="36"/>
    </w:p>
    <w:p w14:paraId="7F6DE1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357690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209CAB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357DC0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344B06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3D477F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CP4 - Europa o silniejszym wymiarze społecznym, bardziej sprzyjająca włączeniu społecznemu i wdrażająca Europejski filar praw socjalnych</w:t>
      </w:r>
    </w:p>
    <w:p w14:paraId="7AEBA7A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3D8AB2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0CF2224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401A96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251 869 438,00</w:t>
      </w:r>
    </w:p>
    <w:p w14:paraId="570B8A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70BEFC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183 287 106,00</w:t>
      </w:r>
    </w:p>
    <w:p w14:paraId="69ECF6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42AE48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34,94</w:t>
      </w:r>
    </w:p>
    <w:p w14:paraId="332E18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A70EA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65,06</w:t>
      </w:r>
    </w:p>
    <w:p w14:paraId="28DB9F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C7137C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E74708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40ECD15"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7" w:name="_Toc237347981"/>
      <w:r>
        <w:rPr>
          <w:rFonts w:ascii="Calibri" w:hAnsi="Calibri" w:cs="Calibri"/>
          <w:sz w:val="32"/>
        </w:rPr>
        <w:t>Działanie FEMA.07.01 Edukacja przedszkolna</w:t>
      </w:r>
      <w:bookmarkEnd w:id="37"/>
    </w:p>
    <w:p w14:paraId="46DE5B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B7656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65E7B8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5ABA8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56B91B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AC1C5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21 879 969,00</w:t>
      </w:r>
    </w:p>
    <w:p w14:paraId="66CF90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3F90E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17 279 736,00</w:t>
      </w:r>
    </w:p>
    <w:p w14:paraId="44B2E1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D7349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148 - Wsparcie na rzecz wczesnej edukacji i opieki nad dzieckiem (z wyłączeniem infrastruktury)</w:t>
      </w:r>
    </w:p>
    <w:p w14:paraId="6ADDCB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9DCCD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 xml:space="preserve">Podniesienie jakości edukacji przedszkolnej </w:t>
      </w:r>
      <w:r>
        <w:br/>
        <w:t>Wsparciem objęte będą projekty mające na celu:</w:t>
      </w:r>
      <w:r>
        <w:br/>
        <w:t>Podniesienie jakości i dostępności edukacji przedszkolnej, ze szczególnym uwzględnieniem edukacji włączającej.</w:t>
      </w:r>
      <w:r>
        <w:br/>
      </w:r>
      <w:r>
        <w:br/>
        <w:t xml:space="preserve">Projekty realizowane będą zgodnie z: </w:t>
      </w:r>
      <w:r>
        <w:br/>
        <w:t xml:space="preserve">1. Rozporządzeniem ogólnym i Rozporządzeniem EFS+ </w:t>
      </w:r>
      <w:r>
        <w:br/>
        <w:t>2. Ustawą o zasadach realizacji zadań finansowanych ze środków europejskich w perspektywie finansowej 2021–2027 z 28.04.2022 r. ze zm. i Prawem oświatowym z 14.12.2016 r. ze zm.</w:t>
      </w:r>
      <w:r>
        <w:br/>
        <w:t>3.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r>
      <w:r>
        <w:br/>
        <w:t xml:space="preserve">Kwalifikowalne do dofinansowania będą działania związane z:  </w:t>
      </w:r>
      <w:r>
        <w:br/>
        <w:t>1)</w:t>
      </w:r>
      <w:r>
        <w:tab/>
        <w:t xml:space="preserve">dostosowaniem miejsc przedszkolnych do potrzeb dzieci ze specjalnymi potrzebami edukacyjnymi (SPE), w istniejących ośrodkach wychowania przedszkolnego (OWP); </w:t>
      </w:r>
      <w:r>
        <w:br/>
        <w:t>2)</w:t>
      </w:r>
      <w:r>
        <w:tab/>
        <w:t xml:space="preserve">realizacją dodatkowej oferty edukacyjnej i specjalistycznej umożliwiającej dziecku ze SPE udział w wychowaniu przedszkolnym; </w:t>
      </w:r>
      <w:r>
        <w:br/>
        <w:t>3)</w:t>
      </w:r>
      <w:r>
        <w:tab/>
        <w:t xml:space="preserve">rozszerzeniem oferty OWP o dodatkowe zajęcia rozwijające kompetencje kluczowe dzieci, wspierające rozwój psychofizyczny, zajęcia specjalistyczne oraz rozwijające uzdolnienia i zainteresowania dzieci;  </w:t>
      </w:r>
      <w:r>
        <w:br/>
        <w:t>4)</w:t>
      </w:r>
      <w:r>
        <w:tab/>
        <w:t>podnoszeniem umiejętności i kwalifikacji zawodowych kadry pedagogicznej i niepedagogicznej oraz zarządzającej, doskonalenie umiejętności, kompetencji lub kwalifikacji nauczycieli OWP do pracy z dziećmi w wieku przedszkolnym, w tym w szczególności z dziećmi ze SPE oraz w zakresie współpracy nauczycieli z rodzicami, w tym radzenia sobie w sytuacjach trudnych;</w:t>
      </w:r>
      <w:r>
        <w:br/>
        <w:t>5)</w:t>
      </w:r>
      <w:r>
        <w:tab/>
        <w:t>działaniami polegającymi na eliminowaniu barier architektonicznych w budynkach OWP oraz dostosowaniu infrastrukturalnym tych placówek do potrzeb dzieci ze SPE (jako uzupełniający element projektu finansowany w ramach cross-financingu);</w:t>
      </w:r>
      <w:r>
        <w:br/>
        <w:t>6) tworzeniem miejsc przedszkolnych tylko tam, gdzie odsetek dzieci objętych wychowaniem przedszkolnym jest poniżej średniej dla województwa lub w tych OWP, które przyjmą dzieci migrantów z Ukrainy.</w:t>
      </w:r>
      <w:r>
        <w:br/>
        <w:t xml:space="preserve">Preferowane mogą być projekty </w:t>
      </w:r>
      <w:r>
        <w:br/>
        <w:t>1)</w:t>
      </w:r>
      <w:r>
        <w:tab/>
        <w:t>realizowane na obszarach wiejskich</w:t>
      </w:r>
      <w:r>
        <w:br/>
      </w:r>
      <w:r>
        <w:lastRenderedPageBreak/>
        <w:t>2)</w:t>
      </w:r>
      <w:r>
        <w:tab/>
        <w:t xml:space="preserve"> skierowane na obszary strategicznej interwencji (OSI) wyznaczone w KSRR i wynikające z SR WM 2030+, tj. miast średnich tracących funkcje społeczno-gospodarcze oraz gmin zagrożonych trwałą marginalizacją</w:t>
      </w:r>
      <w:r>
        <w:br/>
        <w:t>3)</w:t>
      </w:r>
      <w:r>
        <w:tab/>
        <w:t>realizowane w ramach MSIT lub wynikające z GPR.</w:t>
      </w:r>
    </w:p>
    <w:p w14:paraId="06C46C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894DB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1B3D2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AAF83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2A47135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3BE80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3E412F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5D0E77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1A4C5B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E50E2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01B5A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47923B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65B87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062BE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73469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0C539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29493D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9C597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2C436B8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180BB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29618C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3425A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Organizacje społeczne i związki wyznaniowe, Przedsiębiorstwa</w:t>
      </w:r>
    </w:p>
    <w:p w14:paraId="638B15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9BDA68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wychowanie_przedszkolne</w:t>
      </w:r>
    </w:p>
    <w:p w14:paraId="2BA99A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48B84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175CE9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26C6ACD" w14:textId="12736510"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35" w:history="1">
        <w:r w:rsidRPr="005B2474">
          <w:rPr>
            <w:rStyle w:val="Hipercze"/>
          </w:rPr>
          <w:t>https://funduszeuedlamazowsza.eu/uchwaly-km-fem/</w:t>
        </w:r>
      </w:hyperlink>
    </w:p>
    <w:p w14:paraId="744A29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C2D4DE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WLWK-PLFCO02 - Liczba dofinansowanych miejsc wychowania przedszkolnego</w:t>
      </w:r>
    </w:p>
    <w:p w14:paraId="5111729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WLWK-PLFCO09 - Liczba dzieci lub uczniów o specjalnych potrzebach rozwojowych i edukacyjnych, którzy zostali objęci usługami asystenta</w:t>
      </w:r>
    </w:p>
    <w:p w14:paraId="25664A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WLWK-PLFCO01 - Liczba dzieci objętych dodatkowymi zajęciami w edukacji przedszkolnej</w:t>
      </w:r>
    </w:p>
    <w:p w14:paraId="605142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WLWK-PLFCO08 - Liczba dzieci/uczniów o specjalnych potrzebach rozwojowych i edukacyjnych, objętych wsparciem</w:t>
      </w:r>
    </w:p>
    <w:p w14:paraId="28604F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WLWK-PLFCO11 - Liczba miejsc wychowania przedszkolnego dostosowanych do potrzeb dzieci z niepełnosprawnością</w:t>
      </w:r>
    </w:p>
    <w:p w14:paraId="11DAC7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11224D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6C159F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148C102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5C548C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WLWK-PLFCO12 - Liczba ogólnodostępnych szkół i placówek systemu oświaty objętych wsparciem w zakresie edukacji włączającej</w:t>
      </w:r>
    </w:p>
    <w:p w14:paraId="329346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57105B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995F13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7853AA8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3CC154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5FC56F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WLWK-PL0CO01 - Liczba projektów, w których sfinansowano koszty racjonalnych usprawnień dla osób z niepełnosprawnościami</w:t>
      </w:r>
    </w:p>
    <w:p w14:paraId="345712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0B7B1F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0D8640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26D7B3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6D1D5C9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A765597"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8" w:name="_Toc237347982"/>
      <w:r>
        <w:rPr>
          <w:rFonts w:ascii="Calibri" w:hAnsi="Calibri" w:cs="Calibri"/>
          <w:sz w:val="32"/>
        </w:rPr>
        <w:t>Działanie FEMA.07.02 Wzmocnienie kompetencji uczniów</w:t>
      </w:r>
      <w:bookmarkEnd w:id="38"/>
    </w:p>
    <w:p w14:paraId="48BE4D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79D26A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72E1E3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ED0AE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6BCE4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79E57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160 792 292,00</w:t>
      </w:r>
    </w:p>
    <w:p w14:paraId="30817E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2D93C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116 911 370,00</w:t>
      </w:r>
    </w:p>
    <w:p w14:paraId="12E2AF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D603D7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149 - Wsparcie na rzecz szkolnictwa podstawowego i średniego (z wyłączeniem infrastruktury)</w:t>
      </w:r>
    </w:p>
    <w:p w14:paraId="102397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07851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Typy projektów: </w:t>
      </w:r>
      <w:r>
        <w:br/>
        <w:t>I.</w:t>
      </w:r>
      <w:r>
        <w:tab/>
        <w:t>Rozwój kompetencji kluczowych i umiejętności niezbędnych na rynku pracy uczniów szkół podstawowych i ponadpodstawowych ogólnokształcących</w:t>
      </w:r>
      <w:r>
        <w:br/>
        <w:t>II.</w:t>
      </w:r>
      <w:r>
        <w:tab/>
        <w:t>Wsparcie szkół prowadzących kształcenie zawodowe w ramach kompleksowych programów rozwojowych</w:t>
      </w:r>
      <w:r>
        <w:br/>
        <w:t>III.</w:t>
      </w:r>
      <w:r>
        <w:tab/>
        <w:t>Wsparcie edukacji włączającej</w:t>
      </w:r>
      <w:r>
        <w:br/>
        <w:t>Wsparciem objęte będą projekty mające na celu:</w:t>
      </w:r>
      <w:r>
        <w:br/>
        <w:t>Podniesienie jakości edukacji, obejmujące rozwój kompetencji kluczowych, społecznych i społeczno-</w:t>
      </w:r>
      <w:r>
        <w:lastRenderedPageBreak/>
        <w:t xml:space="preserve">emocjonalnych uczniów szkół osiągających najniższe wyniki edukacyjne oraz lepsze dostosowanie kształcenia do potrzeb regionalnego rynku pracy, a także umożliwienie uczniom ze SPE udziału w edukacji ogólnodostępnej, uwzględniające zróżnicowanie ich potrzeb edukacyjnych i rozwojowych.  </w:t>
      </w:r>
      <w:r>
        <w:br/>
        <w:t>W odniesieniu do przedsięwzięć wspieranych w ramach ww. działań zastosowanie będą mieć następujące zasady:</w:t>
      </w:r>
      <w:r>
        <w:br/>
      </w:r>
      <w:r>
        <w:br/>
        <w:t xml:space="preserve">Projekty realizowane będą zgodnie z: </w:t>
      </w:r>
      <w:r>
        <w:br/>
        <w:t xml:space="preserve">1. Rozporządzeniem ogólnym i Rozporządzeniem EFS+ </w:t>
      </w:r>
      <w:r>
        <w:br/>
        <w:t>2. Ustawą o zasadach realizacji zadań finansowanych ze środków europejskich w perspektywie finansowej 2021–2027 z 28.04.2022 r. ze zm. i Prawem oświatowym z 14.12.2016 r. ze zm.</w:t>
      </w:r>
      <w:r>
        <w:br/>
        <w:t>3.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r>
      <w:r>
        <w:br/>
        <w:t>W ramach I typu projektu:</w:t>
      </w:r>
      <w:r>
        <w:br/>
        <w:t>Kwalifikowalne do dofinansowania będą działania związane z:</w:t>
      </w:r>
      <w:r>
        <w:br/>
        <w:t>a)</w:t>
      </w:r>
      <w:r>
        <w:tab/>
        <w:t>rozwojem kompetencji kluczowych, społecznych i społeczno-emocjonalnych uczniów szkół osiągających najniższe wyniki edukacyjne, mające na celu podniesienie świadomości w zakresie planowania ścieżki zawodowej;</w:t>
      </w:r>
      <w:r>
        <w:br/>
        <w:t>b)</w:t>
      </w:r>
      <w:r>
        <w:tab/>
        <w:t>wspieraniem podnoszenia kwalifikacji zawodowych nauczycieli, w zakresie uzupełniającym do wsparcia realizowanego z programów krajowych;</w:t>
      </w:r>
      <w:r>
        <w:br/>
        <w:t>c)</w:t>
      </w:r>
      <w:r>
        <w:tab/>
        <w:t>dodatkowymi zajęciami edukacyjno – wyrównawczymi w zakresie wyrównywania dysproporcji edukacyjnych w trakcie procesu kształcenia dla uczniów mających trudności w spełnianiu wymagań edukacyjnych, wynikających z podstawy programowej kształcenia ogólnego dla danego etapu edukacyjnego, mającymi na celu poprawę wyników edukacyjnych w szkołach;</w:t>
      </w:r>
      <w:r>
        <w:br/>
        <w:t>d)</w:t>
      </w:r>
      <w:r>
        <w:tab/>
        <w:t>zajęciami dodatkowymi, w tym pozaszkolnymi formami edukacji służącymi rozwojowi kompetencji, umiejętności, uzdolnień oraz zainteresowań uczniów poza edukacją formalną, a także działaniami integracyjnymi dla dzieci migrantów z Ukrainy oraz zajęciami z zakresu edukacji ekologicznej, mającymi na celu podniesienie świadomości dzieci i młodzieży na temat zmian klimatycznych i ich konsekwencji oraz łagodzenia ich skutków i możliwości przeciwdziałania;</w:t>
      </w:r>
      <w:r>
        <w:br/>
        <w:t>e)</w:t>
      </w:r>
      <w:r>
        <w:tab/>
        <w:t>realizacją programów stypendialnych (wyłącznie w trybie niekonkurencyjnym);</w:t>
      </w:r>
      <w:r>
        <w:br/>
        <w:t>f)</w:t>
      </w:r>
      <w:r>
        <w:tab/>
        <w:t>doradztwem edukacyjno - zawodowym dla uczniów klas 7 i 8 szkół podstawowych, maturzystów w wyborze kierunków studiów oraz szkoleniami dla nauczycieli, pedagogów i psychologów w tym zakresie. Doradztwo zawodowe będzie uwzględniać aspekt płci przy wyborze zawodu, zwalczać stereotypy związane z płcią i wspierać promowanie przedmiotów STEM</w:t>
      </w:r>
      <w:r>
        <w:br/>
        <w:t>g)</w:t>
      </w:r>
      <w:r>
        <w:tab/>
        <w:t>wyposażeniem pracowni przedmiotowych dla szkół, jako uzupełniający element projektu.</w:t>
      </w:r>
      <w:r>
        <w:br/>
        <w:t>W trybie niekonkurencyjnym będą realizowane następujące projekty:</w:t>
      </w:r>
      <w:r>
        <w:br/>
        <w:t>1.</w:t>
      </w:r>
      <w:r>
        <w:tab/>
        <w:t xml:space="preserve">„Mazowiecka Szkoła Przyszłości”, w zakresie kompetencji kluczowych uczniów, realizowany przez </w:t>
      </w:r>
      <w:r>
        <w:lastRenderedPageBreak/>
        <w:t>DEPiS UMWM</w:t>
      </w:r>
      <w:r>
        <w:br/>
        <w:t>2.</w:t>
      </w:r>
      <w:r>
        <w:tab/>
        <w:t>„Mazowiecki program stypendialny dla uczniów uzdolnionych”, w zakresie wsparcia stypendialnego uczniów z grup defaworyzowanych, znajdujących się w trudnej sytuacji społeczno - ekonomicznej, realizowany przez DEPiS UMWM</w:t>
      </w:r>
      <w:r>
        <w:br/>
        <w:t>W ramach II typu projektu</w:t>
      </w:r>
      <w:r>
        <w:br/>
        <w:t>Kwalifikowalne do dofinansowania będą działania związane z:</w:t>
      </w:r>
      <w:r>
        <w:br/>
        <w:t>1. Rozwojem współpracy szkół lub placówek systemu oświaty prowadzących kształcenie zawodowe z otoczeniem społeczno-gospodarczym, w ramach:</w:t>
      </w:r>
      <w:r>
        <w:br/>
        <w:t>a)</w:t>
      </w:r>
      <w:r>
        <w:tab/>
        <w:t>staży uczniowskich, o których mowa w Prawie oświatowym, dla uczniów techników i branżowych szkół I stopnia niebędących młodocianymi pracownikami, a także praktyk zawodowych dla uczniów branżowych szkół II stopnia oraz uczniów szkół policealnych realizowane w rzeczywistych warunkach pracy, tj. u pracodawców lub w indywidualnych gospodarstwach rolnych, których działalność jest związana z zawodem, w którym kształcą się uczniowie;</w:t>
      </w:r>
      <w:r>
        <w:br/>
        <w:t>b)</w:t>
      </w:r>
      <w:r>
        <w:tab/>
        <w:t>dodatkowych zajęć specjalistycznych realizowanych we współpracy z podmiotami z otoczenia społeczno-gospodarczego szkół, umożliwiających uczniom lub słuchaczom uzyskiwanie i uzupełnianie wiedzy i umiejętności oraz kwalifikacji zawodowych, w tym udział uczniów w zajęciach prowadzonych w szkole wyższej np. w zajęciach laboratoryjnych, kołach lub obozach naukowych;</w:t>
      </w:r>
      <w:r>
        <w:br/>
        <w:t>c)</w:t>
      </w:r>
      <w:r>
        <w:tab/>
        <w:t>kursów przygotowawczych do egzaminu maturalnego, na studia we współpracy ze szkołami wyższymi oraz kursów i szkoleń przygotowujących do kwalifikacyjnych egzaminów czeladniczych i mistrzowskich;</w:t>
      </w:r>
      <w:r>
        <w:br/>
        <w:t>d)</w:t>
      </w:r>
      <w:r>
        <w:tab/>
        <w:t>wsparcia uczniów lub słuchaczy w zakresie potwierdzania umiejętności zawodowych nabywanych przez uczniów kształcących się w danym zawodzie w ramach przygotowania do uzyskania uprawnień zawodowych</w:t>
      </w:r>
      <w:r>
        <w:br/>
        <w:t>e)</w:t>
      </w:r>
      <w:r>
        <w:tab/>
        <w:t>programów walidacji i certyfikacji odpowiednich efektów uczenia się zdobytych w ramach edukacji formalnej, pozaformalnej oraz uczenia się nieformalnego, prowadzących do zdobycia kwalifikacji zawodowych, w tym również kwalifikacji mistrza i czeladnika w zawodzie;</w:t>
      </w:r>
      <w:r>
        <w:br/>
        <w:t>f)</w:t>
      </w:r>
      <w:r>
        <w:tab/>
        <w:t>tworzenia klas patronackich.</w:t>
      </w:r>
      <w:r>
        <w:br/>
        <w:t>2.Kształtowaniem u uczniów szkół lub placówek systemu oświaty prowadzących kształcenie zawodowe kompetencji kluczowych i umiejętności uniwersalnych niezbędnych na rynku pracy, w tym w zakresie zawodów przyszłości, zielonej gospodarki czy Przemysłu 4.0 zwłaszcza w szkołach o najniższych wynikach edukacyjnych w szczególności obejmujące:</w:t>
      </w:r>
      <w:r>
        <w:br/>
        <w:t>a)</w:t>
      </w:r>
      <w:r>
        <w:tab/>
        <w:t>realizację w szkołach projektów edukacyjnych;</w:t>
      </w:r>
      <w:r>
        <w:br/>
        <w:t>b)</w:t>
      </w:r>
      <w:r>
        <w:tab/>
        <w:t xml:space="preserve"> realizację dodatkowych zajęć dydaktyczno-wyrównawczych służących wyrównywaniu dysproporcji edukacyjnych w trakcie procesu kształcenia dla uczniów mających trudności w spełnianiu wymagań edukacyjnych, wynikających z podstawy programowej;</w:t>
      </w:r>
      <w:r>
        <w:br/>
        <w:t>c)</w:t>
      </w:r>
      <w:r>
        <w:tab/>
        <w:t xml:space="preserve"> realizację różnych form rozwijających uzdolnienia;</w:t>
      </w:r>
      <w:r>
        <w:br/>
        <w:t>d)</w:t>
      </w:r>
      <w:r>
        <w:tab/>
        <w:t xml:space="preserve"> wdrożenie nowych form i programów nauczania;</w:t>
      </w:r>
      <w:r>
        <w:br/>
        <w:t>e)</w:t>
      </w:r>
      <w:r>
        <w:tab/>
        <w:t xml:space="preserve"> tworzenie i realizacja zajęć o nowatorskich rozwiązaniach programowych, organizacyjnych lub metodycznych;</w:t>
      </w:r>
      <w:r>
        <w:br/>
        <w:t>f)</w:t>
      </w:r>
      <w:r>
        <w:tab/>
        <w:t xml:space="preserve"> organizację kółek zainteresowań, warsztatów, laboratoriów dla uczniów;</w:t>
      </w:r>
      <w:r>
        <w:br/>
        <w:t>3. Doradztwem edukacyjno - zawodowym dla uczniów oraz szkoleniami dla nauczycieli, pedagogów i psychologów w tym zakresie</w:t>
      </w:r>
      <w:r>
        <w:br/>
      </w:r>
      <w:r>
        <w:lastRenderedPageBreak/>
        <w:t>4.</w:t>
      </w:r>
      <w:r>
        <w:tab/>
        <w:t>Wsparciem stypendialnym dla uczniów szczególnie uzdolnionych (wyłącznie w trybie niekonkurencyjnym);</w:t>
      </w:r>
      <w:r>
        <w:br/>
        <w:t>5.</w:t>
      </w:r>
      <w:r>
        <w:tab/>
        <w:t>Wyposażeniem pracowni, w których prowadzone są zajęcia praktyczne, jako element projektu.</w:t>
      </w:r>
      <w:r>
        <w:br/>
        <w:t>W trybie niekonkurencyjnym będą realizowane następujące projekty:</w:t>
      </w:r>
      <w:r>
        <w:br/>
        <w:t>1. „Zawodowe Mazowsze Przyszłości – innowacyjne kształcenie zawodowe”, realizowany przez DEPiS UMWM</w:t>
      </w:r>
      <w:r>
        <w:br/>
        <w:t>2. „Mazowiecki program stypendialny dla uczniów szkół zawodowych”, w zakresie wsparcia stypendialnego uczniów z grup defaworyzowanych, znajdujących się w trudnej sytuacji społeczno - ekonomicznej, realizowany przez DEPiS UMWM</w:t>
      </w:r>
      <w:r>
        <w:br/>
        <w:t>W ramach III typu projektu</w:t>
      </w:r>
      <w:r>
        <w:br/>
        <w:t>Kwalifikowalne do dofinansowania będą działania związane ze wsparciem szkoły w realizacji edukacji włączającej, z wykorzystaniem modelu „Dostępna szkoła” w zakresie wdrożenia standardu dostępności edukacyjno-społecznej poprzez:</w:t>
      </w:r>
      <w:r>
        <w:br/>
        <w:t>a)</w:t>
      </w:r>
      <w:r>
        <w:tab/>
        <w:t>programy dla uczniów i ich rodziców, w celu przygotowania ich do wspólnej edukacji z kolegami z niepełnosprawnościami oraz przeciwdziałania zachowaniom dyskryminacyjnym;</w:t>
      </w:r>
      <w:r>
        <w:br/>
        <w:t>b)</w:t>
      </w:r>
      <w:r>
        <w:tab/>
        <w:t>bezpośrednie wsparcie uczniów poprzez zapewnienie usług asystenckich;</w:t>
      </w:r>
      <w:r>
        <w:br/>
        <w:t>c)</w:t>
      </w:r>
      <w:r>
        <w:tab/>
        <w:t>działania skierowane do uczniów, którzy doświadczają ubóstwa, ograniczeń w edukacji w związku z przynależnością do mniejszości narodowościowych lub etnicznych, są dziećmi migrantów (zwłaszcza z Ukrainy), lub dysponują szczególnymi zdolnościami;</w:t>
      </w:r>
      <w:r>
        <w:br/>
        <w:t>d)</w:t>
      </w:r>
      <w:r>
        <w:tab/>
        <w:t>działania korekcyjno-kompensacyjne na rzecz uczniów z niepełnosprawnościami oraz ich rodzin w środowisku szkolnym i pozaszkolnym;</w:t>
      </w:r>
      <w:r>
        <w:br/>
        <w:t>e)</w:t>
      </w:r>
      <w:r>
        <w:tab/>
        <w:t>działania w zakresie pomocy psychologiczno-pedagogicznej na rzecz wczesnej diagnostyki i interwencji oraz w zakresie zapobiegania dyskryminacji i przemocy ze względu na orientację seksualną i tożsamość płciową,</w:t>
      </w:r>
      <w:r>
        <w:br/>
        <w:t>f)</w:t>
      </w:r>
      <w:r>
        <w:tab/>
        <w:t xml:space="preserve">wsparcie nauczycieli, innych przedstawicieli kadr pedagogicznych i niepedagogicznych oraz dyrektorów szkół i placówek systemu oświaty w zakresie edukacji włączającej, w tym w zakresie współpracy, wymiany wiedzy i doświadczeń z nauczycielami z placówek specjalnych; </w:t>
      </w:r>
      <w:r>
        <w:br/>
        <w:t>g)</w:t>
      </w:r>
      <w:r>
        <w:tab/>
        <w:t>jako element projektu, finansowany w ramach cross-financingu, działania polegające na eliminowaniu barier architektonicznych w budynkach szkół oraz dostosowaniu infrastrukturalnym tych placówek, które nie będą mogły skorzystać z dofinansowania w ramach Działania 5.1 lub 5.2</w:t>
      </w:r>
      <w:r>
        <w:br/>
        <w:t xml:space="preserve">Preferowane mogą być projekty  </w:t>
      </w:r>
      <w:r>
        <w:br/>
        <w:t>1)</w:t>
      </w:r>
      <w:r>
        <w:tab/>
        <w:t>skierowane do uczniów szkół kształcących w zawodach wymienionych w Prognozie zapotrzebowania na pracowników w zawodach szkolnictwa branżowego, dla których jest prognozowane istotne zapotrzebowanie na pracowników na mazowieckim rynku pracy, zgodnie z Obwieszczeniem Ministra Edukacji z 24 stycznia 2024 r. (typ II)</w:t>
      </w:r>
      <w:r>
        <w:br/>
        <w:t>2)</w:t>
      </w:r>
      <w:r>
        <w:tab/>
        <w:t>komplementarne z projektami zaplanowanymi do realizacji w Działaniu 5.1 lub 5.2 (typ III) i w Działaniu 5.3 i 5.4 (typ II)</w:t>
      </w:r>
      <w:r>
        <w:br/>
        <w:t>3)  skierowane na OSI wyznaczone w KSRR i wynikające z SR WM 2030+, tj. miast średnich tracących funkcje społeczno-gospodarcze oraz gmin zagrożonych trwałą marginalizacją (typ I, II i III)</w:t>
      </w:r>
      <w:r>
        <w:br/>
        <w:t>4) realizowane w ramach MSIT lub wynikające z GPR (typ I, II i III)</w:t>
      </w:r>
      <w:r>
        <w:br/>
        <w:t>5) w ramach których są wykorzystywane zasoby dostępne na ZPE lub są wdrażane modele wypracowane w POWER 2014-2020 (typ I,II,III)</w:t>
      </w:r>
      <w:r>
        <w:br/>
      </w:r>
      <w:r>
        <w:lastRenderedPageBreak/>
        <w:t>6) realizowane w partnerstwie (np. szkoły z obszarów wiejskich ze szkołą zlokalizowaną w ośrodku miejskim, szkoły zawodowej z uniwersytetem, szkoły publicznej ze szkołą specjalną) oraz projekty realizowane we współpracy z organizacjami pozarządowymi (typ III)</w:t>
      </w:r>
      <w:r>
        <w:br/>
        <w:t>7) skierowane do dzieci i uczniów z niepełnosprawnościami lub niedostosowanych społecznie (potwierdzone odpowiednim orzeczeniem), z właściwym wsparciem w ogólnodostępnej szkole lub placówce w zakresie specjalnych potrzeb psychofizycznych (typ III).</w:t>
      </w:r>
      <w:r>
        <w:br/>
        <w:t>Poziom cross-financingu: I typ – 10%, II typ – 15%, III typ 30%.</w:t>
      </w:r>
    </w:p>
    <w:p w14:paraId="62E653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923FA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43B6F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724F7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03C8C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DEC4F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6DAF55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A6448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743612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9794D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14:paraId="1D9753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17778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F6059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5E4EF3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15D9D0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01644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515A06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5A5EB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494FEB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A0A4D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184013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D358F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w:t>
      </w:r>
    </w:p>
    <w:p w14:paraId="3AC8E1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78112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edukacja_klimatyczna, edukacja_włączająca, kształcenie_praktyczne, kształcenie_zawodowe, szkoła, szkoła_podstawowa, szkoła_zawodowa</w:t>
      </w:r>
    </w:p>
    <w:p w14:paraId="3D9D2E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51FD43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7C1C12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C01BA11" w14:textId="59CD959B"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36" w:history="1">
        <w:r w:rsidRPr="005B2474">
          <w:rPr>
            <w:rStyle w:val="Hipercze"/>
          </w:rPr>
          <w:t>https://funduszeuedlamazowsza.eu/uchwaly-km-fem/</w:t>
        </w:r>
      </w:hyperlink>
    </w:p>
    <w:p w14:paraId="494BF33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1BE8B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WLWK-PLFCO09 - Liczba dzieci lub uczniów o specjalnych potrzebach rozwojowych i edukacyjnych, którzy zostali objęci usługami asystenta</w:t>
      </w:r>
    </w:p>
    <w:p w14:paraId="05F6C30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WLWK-PLFCO08 - Liczba dzieci/uczniów o specjalnych potrzebach rozwojowych i edukacyjnych, objętych wsparciem</w:t>
      </w:r>
    </w:p>
    <w:p w14:paraId="66A426B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426DA5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036CE2F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34C92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2B89C3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WLWK-PLFCO12 - Liczba ogólnodostępnych szkół i placówek systemu oświaty objętych wsparciem w zakresie edukacji włączającej</w:t>
      </w:r>
    </w:p>
    <w:p w14:paraId="5F1139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2CAEA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D8D86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297501C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8D202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BA6FB2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WLWK-PL0CO01 - Liczba projektów, w których sfinansowano koszty racjonalnych usprawnień dla osób z niepełnosprawnościami</w:t>
      </w:r>
    </w:p>
    <w:p w14:paraId="4FFEF0D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026A86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4BAE3C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WLWK-PLFCO04 - Liczba uczniów i słuchaczy szkół i placówek kształcenia zawodowego objętych wsparciem</w:t>
      </w:r>
    </w:p>
    <w:p w14:paraId="76593A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WLWK-PLEFCO05 - Liczba uczniów szkół i placówek kształcenia zawodowego uczestniczących w stażach uczniowskich</w:t>
      </w:r>
    </w:p>
    <w:p w14:paraId="581965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WLWK-PLFCO03 - Liczba uczniów szkół i placówek systemu oświaty prowadzących kształcenie ogólne objętych wsparciem</w:t>
      </w:r>
    </w:p>
    <w:p w14:paraId="614E3C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WLWK-PLFCO13 - Liczba uczniów uczestniczących w doradztwie zawodowym</w:t>
      </w:r>
    </w:p>
    <w:p w14:paraId="1166F1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5393D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7007E4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WLWK-PLFCR01 - Liczba uczniów, którzy nabyli kwalifikacje po opuszczeniu programu</w:t>
      </w:r>
    </w:p>
    <w:p w14:paraId="79DA28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15F5BD0"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9" w:name="_Toc237347983"/>
      <w:r>
        <w:rPr>
          <w:rFonts w:ascii="Calibri" w:hAnsi="Calibri" w:cs="Calibri"/>
          <w:sz w:val="32"/>
        </w:rPr>
        <w:t>Działanie FEMA.07.03 Wzmocnienie kompetencji uczniów w ZIT</w:t>
      </w:r>
      <w:bookmarkEnd w:id="39"/>
    </w:p>
    <w:p w14:paraId="025222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3F66D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3FCBB8A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576D5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AF9AB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7478F9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6 000 000,00</w:t>
      </w:r>
    </w:p>
    <w:p w14:paraId="2F5C00F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79E32F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3 000 000,00</w:t>
      </w:r>
    </w:p>
    <w:p w14:paraId="0B16E8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8D9DA0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149 - Wsparcie na rzecz szkolnictwa podstawowego i średniego (z wyłączeniem infrastruktury)</w:t>
      </w:r>
    </w:p>
    <w:p w14:paraId="288D865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867D5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 xml:space="preserve">Typ projektu: </w:t>
      </w:r>
      <w:r>
        <w:br/>
        <w:t>Rozwój kompetencji kluczowych i umiejętności niezbędnych na rynku pracy uczniów szkół podstawowych i ponadpodstawowych ogólnokształcących</w:t>
      </w:r>
      <w:r>
        <w:br/>
        <w:t xml:space="preserve">Wsparciem objęte będą projekty mające na celu: </w:t>
      </w:r>
      <w:r>
        <w:br/>
        <w:t>Podniesienie jakości edukacji, przyczyniające się do rozwoju kompetencji kluczowych, społecznych i społeczno-emocjonalnych uczniów szkół osiągających najniższe wyniki edukacyjne. Wspierane projekty muszą wynikać ze strategii ZIT.</w:t>
      </w:r>
      <w:r>
        <w:br/>
        <w:t>W odniesieniu do przedsięwzięć wspieranych w ramach ww. działań zastosowanie będą mieć następujące zasady:</w:t>
      </w:r>
      <w:r>
        <w:br/>
        <w:t xml:space="preserve">Projekty będą zgodne z: </w:t>
      </w:r>
      <w:r>
        <w:br/>
        <w:t xml:space="preserve">1. Rozporządzeniem ogólnym i Rozporządzeniem EFS+ </w:t>
      </w:r>
      <w:r>
        <w:br/>
        <w:t>2. Ustawą o zasadach realizacji zadań finansowanych ze środków europejskich w perspektywie finansowej 2021–2027 z 28.04.2022 r. ze zm. i Prawem oświatowym z 14.12.2016 r. ze zm.</w:t>
      </w:r>
      <w:r>
        <w:br/>
        <w:t xml:space="preserve"> 3. Wytycznymi na lata 2021-2027 dotyczącymi:</w:t>
      </w:r>
      <w:r>
        <w:br/>
        <w:t xml:space="preserve"> - kwalifikowalności wydatków,</w:t>
      </w:r>
      <w:r>
        <w:br/>
        <w:t xml:space="preserve"> - realizacji projektów z udziałem środków EFS+ w regionalnych programach,</w:t>
      </w:r>
      <w:r>
        <w:br/>
        <w:t xml:space="preserve"> - realizacji zasad równościowych w ramach funduszy unijnych,</w:t>
      </w:r>
      <w:r>
        <w:br/>
        <w:t xml:space="preserve"> - monitorowania postępu rzeczowego realizacji programów,</w:t>
      </w:r>
      <w:r>
        <w:br/>
        <w:t xml:space="preserve"> - wyboru projektów,</w:t>
      </w:r>
      <w:r>
        <w:br/>
        <w:t xml:space="preserve"> - informacji i promocji Funduszy Europejskich.</w:t>
      </w:r>
      <w:r>
        <w:br/>
      </w:r>
      <w:r>
        <w:br/>
        <w:t>Kwalifikowalne do dofinansowania będą działania związane z:</w:t>
      </w:r>
      <w:r>
        <w:br/>
        <w:t>a)</w:t>
      </w:r>
      <w:r>
        <w:tab/>
        <w:t>rozwojem kompetencji kluczowych, społecznych i społeczno-emocjonalnych uczniów szkół osiągających najniższe wyniki edukacyjne, mające na celu podniesienie świadomości w zakresie planowania ścieżki zawodowej;</w:t>
      </w:r>
      <w:r>
        <w:br/>
        <w:t>b)</w:t>
      </w:r>
      <w:r>
        <w:tab/>
        <w:t>wspieraniem podnoszenia kwalifikacji zawodowych nauczycieli, w zakresie uzupełniającym do wsparcia realizowanego z programów krajowych;</w:t>
      </w:r>
      <w:r>
        <w:br/>
        <w:t>c)</w:t>
      </w:r>
      <w:r>
        <w:tab/>
        <w:t>dodatkowymi zajęciami edukacyjno – wyrównawczymi w zakresie wyrównywania dysproporcji edukacyjnych w trakcie procesu kształcenia dla uczniów mających trudności w spełnianiu wymagań edukacyjnych, wynikających z podstawy programowej kształcenia ogólnego dla danego etapu edukacyjnego, mającymi na celu poprawę wyników edukacyjnych w szkołach;</w:t>
      </w:r>
      <w:r>
        <w:br/>
        <w:t>d)</w:t>
      </w:r>
      <w:r>
        <w:tab/>
        <w:t>zajęciami dodatkowymi, w tym pozaszkolnymi formami edukacji służącymi rozwojowi kompetencji, umiejętności, uzdolnień oraz zainteresowań uczniów poza edukacją formalną, a także działaniami integracyjnymi dla dzieci migrantów z Ukrainy oraz zajęciami z zakresu edukacji ekologicznej, mającymi na celu podniesienie świadomości dzieci i młodzieży na temat zmian klimatycznych i ich konsekwencji oraz łagodzenia ich skutków i możliwości przeciwdziałania;</w:t>
      </w:r>
      <w:r>
        <w:br/>
        <w:t>e)</w:t>
      </w:r>
      <w:r>
        <w:tab/>
        <w:t xml:space="preserve">doradztwem edukacyjno - zawodowym dla uczniów klas 7 i 8 szkół podstawowych, maturzystów w wyborze kierunków studiów oraz szkoleniami dla nauczycieli, pedagogów i psychologów w tym zakresie. Doradztwo zawodowe będzie uwzględniać aspekt płci przy wyborze zawodu, zwalczać </w:t>
      </w:r>
      <w:r>
        <w:lastRenderedPageBreak/>
        <w:t>stereotypy związane z płcią i wspierać promowanie przedmiotów STEM</w:t>
      </w:r>
      <w:r>
        <w:br/>
        <w:t>g)</w:t>
      </w:r>
      <w:r>
        <w:tab/>
        <w:t>wyposażeniem pracowni przedmiotowych dla szkół, jako uzupełniający element projektu.</w:t>
      </w:r>
    </w:p>
    <w:p w14:paraId="226FDE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8C7AA5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5EDDFA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4E11F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65</w:t>
      </w:r>
    </w:p>
    <w:p w14:paraId="4B721CC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3C6E8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30CB46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14CB21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76596F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022FBF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928244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4051F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39AF0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A0755E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167654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54819E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0B9F03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E5D45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B4A26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6C616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685119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A4E10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 Zintegrowane Inwestycje Terytorialne (ZIT)</w:t>
      </w:r>
    </w:p>
    <w:p w14:paraId="6FE7C6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9AB1C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edukacja_klimatyczna, szkoła</w:t>
      </w:r>
    </w:p>
    <w:p w14:paraId="246B2E0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3ED12552" w14:textId="3BCD3D14"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37" w:history="1">
        <w:r w:rsidRPr="005B2474">
          <w:rPr>
            <w:rStyle w:val="Hipercze"/>
          </w:rPr>
          <w:t>https://funduszeuedlamazowsza.eu/uchwaly-km-fem/</w:t>
        </w:r>
      </w:hyperlink>
    </w:p>
    <w:p w14:paraId="78919A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4EB6B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568A07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08479B6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3E2069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7C7838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B17E8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4F4471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FBE90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1CCC68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8C4E6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64CE95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64372E0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WLWK-PLFCO03 - Liczba uczniów szkół i placówek systemu oświaty prowadzących kształcenie ogólne objętych wsparciem</w:t>
      </w:r>
    </w:p>
    <w:p w14:paraId="33ED23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WLWK-PL0CO03 - Ludność objęta projektami w ramach strategii zintegrowanego rozwoju terytorialnego</w:t>
      </w:r>
    </w:p>
    <w:p w14:paraId="2B75BE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PROG-FEMA0CO01 - Wspierane strategie zintegrowanego rozwoju terytorialnego</w:t>
      </w:r>
    </w:p>
    <w:p w14:paraId="5F0714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DA232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426E93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WLWK-PLFCR01 - Liczba uczniów, którzy nabyli kwalifikacje po opuszczeniu programu</w:t>
      </w:r>
    </w:p>
    <w:p w14:paraId="270FE0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72D7486"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0" w:name="_Toc237347984"/>
      <w:r>
        <w:rPr>
          <w:rFonts w:ascii="Calibri" w:hAnsi="Calibri" w:cs="Calibri"/>
          <w:sz w:val="32"/>
        </w:rPr>
        <w:t>Działanie FEMA.07.04 Edukacja osób dorosłych</w:t>
      </w:r>
      <w:bookmarkEnd w:id="40"/>
    </w:p>
    <w:p w14:paraId="15DC05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4CE00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EFS+.CP4.G - Wspieranie uczenia się przez całe życie, w szczególności elastycznych możliwości podnoszenia i zmiany kwalifikacji dla wszystkich, z uwzględnieniem umiejętności w zakresie </w:t>
      </w:r>
      <w:r>
        <w:lastRenderedPageBreak/>
        <w:t>przedsiębiorczości i kompetencji cyfrowych, lepsze przewidywanie zmian i zapotrzebowania na nowe umiejętności na podstawie potrzeb rynku pracy, ułatwianie zmian ścieżki kariery zawodowej i wspieranie mobilności zawodowej</w:t>
      </w:r>
    </w:p>
    <w:p w14:paraId="5DF0B9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6FE4D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14E165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5FD8F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38 549 333,00</w:t>
      </w:r>
    </w:p>
    <w:p w14:paraId="0B75CC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129B5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27 767 173,00</w:t>
      </w:r>
    </w:p>
    <w:p w14:paraId="7820F7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3C1D8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5E8C82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F6C3B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Wsparcie poprzez usługi rozwojowe, w tym w zakresie kompetencji cyfrowych, w ramach PSF dla osób dorosłych, które chcą z własnej inicjatywy podnieść swoje umiejętności/kompetencje lub nabyć kwalifikacje (w tym włączone do ZRK); w tym wsparcie dla osób z najtrudniejszych grup docelowych - za pośrednictwem BUR</w:t>
      </w:r>
      <w:r>
        <w:br/>
        <w:t xml:space="preserve">Wsparciem objęte będą projekty mające na celu: </w:t>
      </w:r>
      <w:r>
        <w:br/>
        <w:t xml:space="preserve">uczenie się osób dorosłych, zwłaszcza mających największą lukę kompetencyjną i najtrudniejszy dostęp do oferty edukacyjnej poprzez dofinansowanie usług rozwojowych w ramach BUR.  </w:t>
      </w:r>
      <w:r>
        <w:br/>
        <w:t>W odniesieniu do przedsięwzięć wspieranych w ramach ww. działań zastosowanie będą mieć następujące zasady:</w:t>
      </w:r>
      <w:r>
        <w:br/>
        <w:t xml:space="preserve">1) W obszarze podnoszenia kompetencji cyfrowych wsparcie będzie komplementarne z działaniami planowanymi w programie FERS w ramach Klubów Rozwoju Cyfrowego i nie będzie powielało działań realizowanych przez ww. podmioty, </w:t>
      </w:r>
      <w:r>
        <w:br/>
        <w:t xml:space="preserve">2) Wsparcie będzie realizowane w ujęciu subregionalnym - w ramach naboru zostanie dokonany wybór Operatorów Podmiotowego Systemu Finansowania, </w:t>
      </w:r>
      <w:r>
        <w:br/>
        <w:t>3) Osoby dorosłe zainteresowane podniesieniem swoich umiejętności/ kompetencji/kwalifikacji będą miały dostęp do dodatkowego wsparcia ze strony beneficjenta (operatora PSF) w zakresie co najmniej:</w:t>
      </w:r>
      <w:r>
        <w:br/>
        <w:t>a) zbudowania motywacji do podejmowania działań w kierunku rozwoju umiejętności/kompetencji/kwalifikacji,</w:t>
      </w:r>
      <w:r>
        <w:br/>
        <w:t>b) analizy potrzeb rozwojowych, w tym z wykorzystaniem modelu Bilansu Kompetencji,</w:t>
      </w:r>
      <w:r>
        <w:br/>
        <w:t>c) wsparcia w wyborze odpowiednich usług rozwojowych w BUR,</w:t>
      </w:r>
      <w:r>
        <w:br/>
        <w:t>d) identyfikacji nabytych umiejętności/kompetencji oraz wsparcia w ich walidacji i certyfikacji, w tym zachęcenie do założenia „Mojego portfolio” lub konta Europass,</w:t>
      </w:r>
      <w:r>
        <w:br/>
        <w:t xml:space="preserve">4) Projekty realizowane będą zgodnie z: </w:t>
      </w:r>
      <w:r>
        <w:br/>
      </w:r>
      <w:r>
        <w:lastRenderedPageBreak/>
        <w:t xml:space="preserve">1. Rozporządzeniem ogólnym i Rozporządzeniem EFS+ </w:t>
      </w:r>
      <w:r>
        <w:br/>
        <w:t>2. Ustawą o zasadach realizacji zadań finansowanych ze środków europejskich w perspektywie finansowej 2021–2027 z 28.04.2022 r. ze zm. i Prawem oświatowym z 14.12.2016 r. ze zm.</w:t>
      </w:r>
      <w:r>
        <w:br/>
        <w:t>3. Wytycznymi na lata 2021-2027 dotyczącymi:</w:t>
      </w:r>
      <w:r>
        <w:br/>
        <w:t xml:space="preserve"> - kwalifikowalności wydatków,</w:t>
      </w:r>
      <w:r>
        <w:br/>
        <w:t xml:space="preserve"> - realizacji projektów z udziałem środków EFS+ w regionalnych programach,</w:t>
      </w:r>
      <w:r>
        <w:br/>
        <w:t xml:space="preserve"> - realizacji zasad równościowych w ramach funduszy unijnych,</w:t>
      </w:r>
      <w:r>
        <w:br/>
        <w:t xml:space="preserve"> - monitorowania postępu rzeczowego realizacji programów,</w:t>
      </w:r>
      <w:r>
        <w:br/>
        <w:t xml:space="preserve"> - wyboru projektów,</w:t>
      </w:r>
      <w:r>
        <w:br/>
        <w:t xml:space="preserve"> - informacji i promocji Funduszy Europejskich.</w:t>
      </w:r>
      <w:r>
        <w:br/>
        <w:t xml:space="preserve">Kwalifikowalne do dofinansowania będą działania związane ze wsparciem osób dorosłych, zwłaszcza znajdujących się w trudnej sytuacji, które chcą z własnej inicjatywy podnieść kwalifikacje zawodowe, zdobyć nowe umiejętności/kompetencje, przekwalifikować się, potwierdzić odpowiednim certyfikatem już posiadane umiejętności czy skorzystać z innych usług rozwojowych, które mają na celu poprawę ich sytuacji na rynku pracy. </w:t>
      </w:r>
      <w:r>
        <w:br/>
        <w:t xml:space="preserve">Preferowane mogą być projekty: </w:t>
      </w:r>
      <w:r>
        <w:br/>
        <w:t>1)</w:t>
      </w:r>
      <w:r>
        <w:tab/>
        <w:t xml:space="preserve">w ramach, których będą realizowane usługi rozwojowe prowadzące do uzyskania kwalifikacji włączonych do ZRK oraz kwalifikacji w zakresie dostosowania do zmian w przemyśle i produkcji, w tym w zakresie zielonej gospodarki, </w:t>
      </w:r>
      <w:r>
        <w:br/>
        <w:t>2)</w:t>
      </w:r>
      <w:r>
        <w:tab/>
        <w:t xml:space="preserve">ukierunkowane na wsparcie edukacji osób dorosłych, które zajmują się lub chcą podjąć zatrudnienie w szeroko rozumianych usługach opieki długoterminowej  o charakterze społecznym, w tym także podnoszenie kompetencji i umiejętności opiekunów nieformalnych w ramach opieki długoterminowej,  </w:t>
      </w:r>
      <w:r>
        <w:br/>
        <w:t>3)  skierowane na obszary strategicznej interwencji (OSI) wyznaczone w KSRR i wynikające z SR WM 2030+, tj. miast średnich tracących funkcje społeczno-gospodarcze oraz gmin zagrożonych trwałą marginalizacją</w:t>
      </w:r>
      <w:r>
        <w:br/>
        <w:t>4) realizowane w ramach MSIT lub wynikające z GPR.</w:t>
      </w:r>
    </w:p>
    <w:p w14:paraId="06417C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95FA2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4F519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9D81A0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6B58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B3BB8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6D21C7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3E27D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62FE69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51A2D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684F62E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8914F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9A280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A2829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1D4C6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AD4684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51B12D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52013B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A9FFA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66205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98013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17F30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w:t>
      </w:r>
    </w:p>
    <w:p w14:paraId="3773C2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F01AC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kompetencje, kształcenie_dorosłych, kurs, szkolenia</w:t>
      </w:r>
    </w:p>
    <w:p w14:paraId="2E507D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60DB8B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6190583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995677B" w14:textId="0DE449F3"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38" w:history="1">
        <w:r w:rsidRPr="005B2474">
          <w:rPr>
            <w:rStyle w:val="Hipercze"/>
          </w:rPr>
          <w:t>https://funduszeuedlamazowsza.eu/uchwaly-km-fem/</w:t>
        </w:r>
      </w:hyperlink>
    </w:p>
    <w:p w14:paraId="73AFE5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E09F6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1F4F280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3ABEE4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WLWK-EECO18 - Liczba objętych wsparciem podmiotów administracji publicznej lub służb publicznych na szczeblu krajowym, regionalnym lub lokalnym</w:t>
      </w:r>
    </w:p>
    <w:p w14:paraId="485A04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WLWK-PLGCO01 - Liczba osób dorosłych objętych usługami rozwojowymi</w:t>
      </w:r>
    </w:p>
    <w:p w14:paraId="4078B8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72516F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391D69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387302C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2F3D53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5EC571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579F85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DDED3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08756C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1BD2AA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7BD0AC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F671CB8"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1" w:name="_Toc237347985"/>
      <w:r>
        <w:rPr>
          <w:rFonts w:ascii="Calibri" w:hAnsi="Calibri" w:cs="Calibri"/>
          <w:sz w:val="32"/>
        </w:rPr>
        <w:t>Działanie FEMA.07.05 Edukacja osób dorosłych poza PSF</w:t>
      </w:r>
      <w:bookmarkEnd w:id="41"/>
    </w:p>
    <w:p w14:paraId="01C566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CE81A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3F5403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50B3C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6B2DC56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55FB418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24 647 845,00</w:t>
      </w:r>
    </w:p>
    <w:p w14:paraId="230CF5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33381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18 328 827,00</w:t>
      </w:r>
    </w:p>
    <w:p w14:paraId="2A0B30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A44A7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151 - Wsparcie na rzecz kształcenia dorosłych (z wyłączeniem infrastruktury)</w:t>
      </w:r>
    </w:p>
    <w:p w14:paraId="06D178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D0A907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Typy projektów: </w:t>
      </w:r>
      <w:r>
        <w:br/>
        <w:t>I. Wsparcie dla osób o niskich umiejętnościach lub kompetencjach (w tym cyfrowych) realizowane poza systemem BUR i PSF, umożliwiające wdrażanie Upskilling pathways,</w:t>
      </w:r>
      <w:r>
        <w:br/>
        <w:t>II. Wsparcie lokalnych inicjatyw na rzecz kształcenia osób dorosłych (na przykładzie LOWE) np. poprzez tworzenie lokalnych punktów wsparcia kształcenia osób dorosłych, w tym służących aktywizacji osób starszych, osób o niskich kwalifikacjach, osób z niepełnosprawnościami.</w:t>
      </w:r>
      <w:r>
        <w:br/>
        <w:t>Wsparciem objęte będą projekty mające na celu realizację kompleksowej oferty edukacji osób dorosłych, w szczególności dla osób z utrudnionym dostępem do dobrej jakości ofert wspierających uczenie się przez całe życie oraz społeczności lokalnych z obszarów oddalonych od centrów administracyjnych, edukacyjnych, gospodarczych itp. z utrudnionym dostępem do wysokojakościowych usług publicznych, w tym szczególnie edukacyjnych. Rezultatem działań będzie większy udział osób dorosłych w uczeniu się, a nabywane umiejętności pozwolą na ich dalszy rozwój oraz zwiększenie aktywności społecznej i zawodowej.</w:t>
      </w:r>
      <w:r>
        <w:br/>
        <w:t xml:space="preserve">W odniesieniu do przedsięwzięć wspieranych w ww. działaniach zastosowanie będą mieć następujące zasady: </w:t>
      </w:r>
      <w:r>
        <w:br/>
        <w:t>W ramach I typu projektu:</w:t>
      </w:r>
      <w:r>
        <w:br/>
        <w:t>1)</w:t>
      </w:r>
      <w:r>
        <w:tab/>
        <w:t>Wdrożenie działań związanych z edukacją w zakresie kompetencji podstawowych na Mazowszu będzie realizowane na przykładzie rozwiązań i modeli uczenia się dorosłych wypracowanych w ramach projektu pn. „Szansa – nowe możliwości dla dorosłych” (POWER 2014-2020) w oparciu o zalecenia Rady z 19 grudnia 2016 r. w sprawie ścieżek poprawy umiejętności: nowe możliwości dla dorosłych (Dz. Urz. UE C 484 z 24.12.2016), którego celem jest zaoferowanie osobom dorosłym o niskich umiejętnościach podstawowych dostępu do ścieżek poprawy tychże umiejętności, tj.:</w:t>
      </w:r>
      <w:r>
        <w:br/>
        <w:t>a)</w:t>
      </w:r>
      <w:r>
        <w:tab/>
        <w:t>możliwości przejścia oceny, np. audytu umiejętności, w celu określenia posiadanych umiejętności i potrzeb w zakresie ich poprawy, na przykład z wykorzystaniem modelu Bilansu Kompetencji,</w:t>
      </w:r>
      <w:r>
        <w:br/>
        <w:t>b)</w:t>
      </w:r>
      <w:r>
        <w:tab/>
        <w:t>dopasowanych i elastycznych ofert uczenia się, zgodnych z wynikami audytu umiejętności,</w:t>
      </w:r>
      <w:r>
        <w:br/>
        <w:t>c)</w:t>
      </w:r>
      <w:r>
        <w:tab/>
        <w:t>walidacji i uznania nabytych umiejętności/kompetencji podstawowych lub certyfikacji kwalifikacji, w tym zachęcenie do założenia „Mojego portfolio” lub konta Europass.</w:t>
      </w:r>
      <w:r>
        <w:br/>
        <w:t>2) Środki EFS zostaną przeznaczone na wsparcie osób z grup defaworyzowanych, wykazujących największą lukę kompetencyjną i posiadających największe potrzeby w dostępie do edukacji</w:t>
      </w:r>
      <w:r>
        <w:br/>
        <w:t>3) W zakresie planowanej interwencji w obszarze podnoszenia kompetencji cyfrowych wsparcie będzie komplementarne z działaniami planowanymi w programie FERS w ramach Klubów Rozwoju Cyfrowego i nie będzie powielało działań realizowanych przez ww. podmioty</w:t>
      </w:r>
      <w:r>
        <w:br/>
        <w:t>4) Wnioskodawcy mogą ubiegać się o dofinansowanie samodzielnie lub w partnerstwie z innymi podmiotami</w:t>
      </w:r>
      <w:r>
        <w:br/>
        <w:t>5) Działania podejmowane powinny mieć charakter komplementarny w stosunku do wsparcia udzielanego w ramach typu projektu Wsparcie lokalnych inicjatyw na rzecz kształcenia osób dorosłych (na przykładzie LOWE)</w:t>
      </w:r>
      <w:r>
        <w:br/>
        <w:t>6) Przewiduje się zorganizowanie oddzielnego naboru na projekty wynikające z LSR.</w:t>
      </w:r>
      <w:r>
        <w:br/>
      </w:r>
      <w:r>
        <w:lastRenderedPageBreak/>
        <w:br/>
        <w:t xml:space="preserve">W ramach II typu projektu: </w:t>
      </w:r>
      <w:r>
        <w:br/>
        <w:t>1) Wsparcie lokalnych inicjatyw na rzecz uczenia się osób dorosłych realizowane poprzez tworzenie lokalnych punktów wsparcia edukacji osób dorosłych, będzie odbywało się w oparciu o model „Lokalnych Ośrodków Wiedzy i Edukacji (LOWE), wypracowany w PO WER 2014-2020:</w:t>
      </w:r>
      <w:r>
        <w:br/>
        <w:t>a)</w:t>
      </w:r>
      <w:r>
        <w:tab/>
        <w:t>wsparcie uzyskają lokalne inicjatywy na rzecz edukacji osób dorosłych, które powstaną przy szkole lub placówce systemu oświaty,</w:t>
      </w:r>
      <w:r>
        <w:br/>
        <w:t>b)</w:t>
      </w:r>
      <w:r>
        <w:tab/>
        <w:t>lokalne punkty wsparcia edukacji osób dorosłych służące aktywizacji w szczególności osób starszych, osób o niskich kwalifikacjach, osób z niepełnosprawnościami będą miały m.in. na celu diagnozę potrzeb szkoleniowych osób dorosłych i dostosowanie form edukacji pod kątem ich adekwatności i elastyczności.</w:t>
      </w:r>
      <w:r>
        <w:br/>
        <w:t>c)</w:t>
      </w:r>
      <w:r>
        <w:tab/>
        <w:t>wszelkie działania podejmowane w ramach projektu zostaną poprzedzone kompleksową oceną potrzeb osób dorosłych w zakresie umiejętności, jako podstawą dla opracowywania treści ofert edukacyjnych na danym obszarze,</w:t>
      </w:r>
      <w:r>
        <w:br/>
        <w:t>d)</w:t>
      </w:r>
      <w:r>
        <w:tab/>
        <w:t>każda inicjatywa będzie wspierana przez animatora, zgodnie z opracowanym modelem</w:t>
      </w:r>
      <w:r>
        <w:br/>
        <w:t>e)</w:t>
      </w:r>
      <w:r>
        <w:tab/>
        <w:t>celem podejmowanych działań będzie:</w:t>
      </w:r>
      <w:r>
        <w:br/>
        <w:t>- aktywizacja osób dorosłych, w szczególności biernych edukacyjnie, w otoczeniu szkół i placówek systemu oświaty do rozwijania swoich umiejętności i włączania się w życie społeczności lokalnej,</w:t>
      </w:r>
      <w:r>
        <w:br/>
        <w:t>- utrzymanie zaangażowania osób dorosłych, w szczególności biernych edukacyjnie, przez dobór odpowiednich form i zakresu oferty edukacyjnej, dostosowanej do indywidualnych potrzeb i oczekiwań,</w:t>
      </w:r>
      <w:r>
        <w:br/>
        <w:t>- aktywizowanie instytucji i organizacji z otoczenia szkół i placówek na rzecz rozwoju umiejętności społeczności lokalnej,</w:t>
      </w:r>
      <w:r>
        <w:br/>
        <w:t>f)</w:t>
      </w:r>
      <w:r>
        <w:tab/>
        <w:t>Beneficjenci będą zobowiązani do włączenia się w ogólnopolską sieć, która będzie wdrażana i koordynowana przez ministra właściwego do spraw oświaty i wychowania w ramach FERS, a także będą współpracować z lokalnymi Klubami Rozwoju Cyfrowego, tworzonymi w FERS,</w:t>
      </w:r>
      <w:r>
        <w:br/>
        <w:t>g)</w:t>
      </w:r>
      <w:r>
        <w:tab/>
        <w:t>w ramach projektu prowadzone będą działania służące zachowaniu trwałości utworzonych w ramach projektu inicjatyw, rozumianej jako instytucjonalna gotowość placówki do świadczenia usług dla osób dorosłych,</w:t>
      </w:r>
      <w:r>
        <w:br/>
        <w:t>h)</w:t>
      </w:r>
      <w:r>
        <w:tab/>
        <w:t>interwencja zakłada realizację działań na rzecz uczenia się przez całe życie w szczególności na rzecz osób w trudnej sytuacji,</w:t>
      </w:r>
      <w:r>
        <w:br/>
        <w:t>2) Środki EFS zostaną przeznaczone na wsparcie osób wykazujących największą lukę kompetencyjną i posiadających największe trudności w dostępie do edukacji.</w:t>
      </w:r>
      <w:r>
        <w:br/>
        <w:t>3) W zakresie planowanej interwencji w obszarze podnoszenia kompetencji cyfrowych wsparcie będzie komplementarne z działaniami planowanymi w programie FERS w ramach Klubów Rozwoju Cyfrowego i nie będzie powielało działań realizowanych przez ww. podmioty.</w:t>
      </w:r>
      <w:r>
        <w:br/>
        <w:t>4) Wnioskodawcy mogą ubiegać się o dofinansowanie samodzielnie lub w partnerstwie z innymi podmiotami.</w:t>
      </w:r>
      <w:r>
        <w:br/>
        <w:t xml:space="preserve">5) Przewiduje się zorganizowanie oddzielnego naboru na projekty wynikające z LSR. </w:t>
      </w:r>
      <w:r>
        <w:br/>
        <w:t>W ramach obu typów projektów, w przypadku wspierania kompetencji cyfrowych, zaleca się zastosowanie standardu kompetencji cyfrowych na podstawie aktualnej na dzień ogłoszenia naboru wersji ramy „DigComp”.</w:t>
      </w:r>
      <w:r>
        <w:br/>
        <w:t xml:space="preserve">Projekty realizowane będą zgodnie z: </w:t>
      </w:r>
      <w:r>
        <w:br/>
      </w:r>
      <w:r>
        <w:lastRenderedPageBreak/>
        <w:t xml:space="preserve">1. Rozporządzeniem ogólnym i Rozporządzeniem EFS+ </w:t>
      </w:r>
      <w:r>
        <w:br/>
        <w:t>2. Ustawą o zasadach realizacji zadań finansowanych ze środków europejskich w perspektywie finansowej 2021–2027 z 28.04.2022 r. ze zm. i Prawem oświatowym z 14.12.2016 r. ze zm.</w:t>
      </w:r>
      <w:r>
        <w:br/>
        <w:t>3. Wytycznymi na lata 2021-2027 dotyczącymi:</w:t>
      </w:r>
      <w:r>
        <w:br/>
        <w:t xml:space="preserve"> - kwalifikowalności wydatków,</w:t>
      </w:r>
      <w:r>
        <w:br/>
        <w:t xml:space="preserve"> - realizacji projektów z udziałem środków EFS+ w regionalnych programach,</w:t>
      </w:r>
      <w:r>
        <w:br/>
        <w:t xml:space="preserve"> - realizacji zasad równościowych w ramach funduszy unijnych,</w:t>
      </w:r>
      <w:r>
        <w:br/>
        <w:t xml:space="preserve"> - monitorowania postępu rzeczowego realizacji programów,</w:t>
      </w:r>
      <w:r>
        <w:br/>
        <w:t xml:space="preserve"> - wyboru projektów,</w:t>
      </w:r>
      <w:r>
        <w:br/>
        <w:t xml:space="preserve"> - informacji i promocji Funduszy Europejskich.</w:t>
      </w:r>
      <w:r>
        <w:br/>
        <w:t>W ramach I typu projektu</w:t>
      </w:r>
      <w:r>
        <w:br/>
        <w:t>Kwalifikowalne do dofinansowania będą działania związane ze:</w:t>
      </w:r>
      <w:r>
        <w:br/>
        <w:t>Wsparciem dla osób dorosłych w zakresie umiejętności podstawowych (w tym cyfrowych) realizowane poza systemem BUR i PSF, umożliwiające wdrożenie zalecenia Rady z 19 grudnia 2016 r. w sprawie ścieżek poprawy umiejętności: nowe możliwości dla dorosłych (Dz. Urz. UE C 484 z 24.12.2016),</w:t>
      </w:r>
      <w:r>
        <w:br/>
        <w:t xml:space="preserve">Preferowane mogą być projekty: </w:t>
      </w:r>
      <w:r>
        <w:br/>
        <w:t>1. skierowane na obszary strategicznej interwencji (OSI) wyznaczone w KSRR i wynikające z SR WM 2030+, tj. miast średnich tracących funkcje społeczno-gospodarcze oraz gmin zagrożonych trwałą marginalizacją,</w:t>
      </w:r>
      <w:r>
        <w:br/>
        <w:t>2. realizowane w ramach MSIT lub wynikające z GPR.</w:t>
      </w:r>
    </w:p>
    <w:p w14:paraId="0954030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7045A4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D07A3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9245C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730D95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B1B69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159E438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3907E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0946A9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6CE0E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5A06E3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555595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F5C2A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1DC9C9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61534B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537425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29DE7DB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78884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2B6171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449A5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86430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6B06F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w:t>
      </w:r>
    </w:p>
    <w:p w14:paraId="59AAC6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78CE0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kompetencje, kształcenie_dorosłych, kurs, szkolenia</w:t>
      </w:r>
    </w:p>
    <w:p w14:paraId="428219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412C8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2F9112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B849303" w14:textId="4782D1E2"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39" w:history="1">
        <w:r w:rsidRPr="005B2474">
          <w:rPr>
            <w:rStyle w:val="Hipercze"/>
          </w:rPr>
          <w:t>https://funduszeuedlamazowsza.eu/uchwaly-km-fem/</w:t>
        </w:r>
      </w:hyperlink>
    </w:p>
    <w:p w14:paraId="5808C2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32789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7ED498B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3CF3DB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723400E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WLWK-PLGCO03 - Liczba osób dorosłych objętych wsparciem w zakresie umiejętności lub kompetencji podstawowych, realizowanym poza Bazą Usług Rozwojowych </w:t>
      </w:r>
    </w:p>
    <w:p w14:paraId="5013E1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25B848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9D29E2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WLWK-EECO16 - Liczba osób w kryzysie bezdomności lub dotkniętych wykluczeniem z dostępu do mieszkań, objętych wsparciem w programie</w:t>
      </w:r>
    </w:p>
    <w:p w14:paraId="100990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59E980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6E068AC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WLWK-PLGCO02 - Liczba podmiotów przygotowanych do pełnienia funkcji lokalnego ośrodka kształcenia osób dorosłych</w:t>
      </w:r>
    </w:p>
    <w:p w14:paraId="0C06F3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1C49F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F194E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38DE3C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40B228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0DC75F7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34A5D981"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42" w:name="_Toc237347986"/>
      <w:r>
        <w:rPr>
          <w:rFonts w:ascii="Calibri" w:hAnsi="Calibri" w:cs="Calibri"/>
          <w:i w:val="0"/>
          <w:sz w:val="32"/>
        </w:rPr>
        <w:t>Priorytet FEMA.08 Fundusze Europejskie dla aktywnej integracji oraz rozwoju usług społecznych i zdrowotnych na Mazowszu</w:t>
      </w:r>
      <w:bookmarkEnd w:id="42"/>
    </w:p>
    <w:p w14:paraId="5996071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6B9A3C3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1705F6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5AC6076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7A165BF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46D429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543E0C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6B68FB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357E4D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4965C5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292 902 658,00</w:t>
      </w:r>
    </w:p>
    <w:p w14:paraId="605862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39B57C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214 869 750,00</w:t>
      </w:r>
    </w:p>
    <w:p w14:paraId="026448C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5C48B6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33,26</w:t>
      </w:r>
    </w:p>
    <w:p w14:paraId="6C8121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lastRenderedPageBreak/>
        <w:t>Odsetek dla regionów słabiej rozwiniętych</w:t>
      </w:r>
    </w:p>
    <w:p w14:paraId="30F8D8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66,74</w:t>
      </w:r>
    </w:p>
    <w:p w14:paraId="558F17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6D83A5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E68F4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B6B6824"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3" w:name="_Toc237347987"/>
      <w:r>
        <w:rPr>
          <w:rFonts w:ascii="Calibri" w:hAnsi="Calibri" w:cs="Calibri"/>
          <w:sz w:val="32"/>
        </w:rPr>
        <w:t>Działanie FEMA.08.01 Aktywizacja społeczna i zawodowa</w:t>
      </w:r>
      <w:bookmarkEnd w:id="43"/>
    </w:p>
    <w:p w14:paraId="7286FD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FAB87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3287B49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B283B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718C239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83DF6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49 231 547,00</w:t>
      </w:r>
    </w:p>
    <w:p w14:paraId="6C2F11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4B073A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36 631 846,00</w:t>
      </w:r>
    </w:p>
    <w:p w14:paraId="6052B4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FE9275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 152 - Działania na rzecz promowania równości szans i aktywnego udziału w życiu społecznym</w:t>
      </w:r>
    </w:p>
    <w:p w14:paraId="0E97D3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18E69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zwiększenie szans na zatrudnienie osób biernych zawodowo oraz zagrożonych ubóstwem lub wykluczeniem społecznym.</w:t>
      </w:r>
      <w:r>
        <w:br/>
        <w:t>W ramach działania realizowane będą mogły być następujące typy projektów:</w:t>
      </w:r>
      <w:r>
        <w:br/>
        <w:t>I. Aktywizacja społeczna i zawodowa osób biernych zawodowo oraz zagrożonych ubóstwem lub wykluczeniem społecznym przy zastosowaniu usług aktywnej integracji</w:t>
      </w:r>
      <w:r>
        <w:br/>
        <w:t>Interwencja będzie realizowana poprzez wdrażanie kompleksowych i zindywidualizowanych programów ukierunkowanych na aktywizację społeczną i zawodową osób w najtrudniejszej sytuacji społeczno-ekonomicznej z wykorzystaniem instrumentów aktywizacji:</w:t>
      </w:r>
      <w:r>
        <w:br/>
        <w:t xml:space="preserve">• społecznej (instrument obligatoryjny dla każdego uczestnika) - w celu nabycia, przywrócenia lub wzmocnienia kompetencji społecznych, zaradności, samodzielności i aktywności społecznej (instrument obligatoryjny dla każdego uczestnika), np. działania z zakresu poradnictwa specjalistycznego (m.in. socjoterapeuty, psychologa, prawnika, mediatora) oraz jako element uzupełniający - udzielanie </w:t>
      </w:r>
      <w:r>
        <w:lastRenderedPageBreak/>
        <w:t>informacji o prawach i uprawnieniach (poradnictwo prawne i obywatelskie), działania z zakresu poradnictwa i wsparcia indywidualnego oraz grupowego w zakresie podniesienia kompetencji życiowych i umiejętności społeczno-zawodowych umożliwiających docelowo powrót do życia społecznego, w tym powrót na rynek pracy i aktywizację zawodową (m.in. warsztaty rozwoju osobistego, indywidualny coaching, warsztaty kompetencji pedagogiczno-wychowawczych, trening umiejętności społecznych, praca metodą mentoringu), praca socjalna oparta o działania w ramach różnych form kontraktu socjalnego (projekty obejmujące wyłącznie pracę socjalną nie będą przyjmowane do dofinansowania),</w:t>
      </w:r>
      <w:r>
        <w:br/>
        <w:t>• zawodowej (instrument obligatoryjny dla każdego uczestnika) - w celu pomocy w podjęciu decyzji dotyczącej wyboru lub zmiany zawodu, wyposażenia w kompetencje i kwalifikacje zawodowe oraz umiejętności pożądane na rynku pracy, jak również pomoc w utrzymaniu zatrudnienia, np. prace społecznie użyteczne, staże zawodowe, praktyki zawodowe, subsydiowane zatrudnienie (w tym doposażenie lub wyposażenie stanowiska pracy), poradnictwo zawodowe, pośrednictwo pracy, trening pracy jako usługi wspierające aktywizację zawodową, zatrudnienie wspierane, wspomagane, usługi trenera zatrudnienia wspieranego, kursy i szkolenia zawodowe.</w:t>
      </w:r>
      <w:r>
        <w:br/>
        <w:t>• edukacyjnej - w celu nabycia lub potwierdzenia kompetencji ogólnych lub zawodowych dostosowanych do potrzeb rynku pracy, prowadzące do uzyskania kwalifikacji (m.in. w ramach edukacji formalnej),</w:t>
      </w:r>
      <w:r>
        <w:br/>
        <w:t>• zdrowotnej, w celu wyeliminowania lub złagodzenia barier zdrowotnych utrudniających funkcjonowanie w społeczeństwie lub powodujących oddalenie od rynku pracy. Finansowanie usług zdrowotnych jest możliwe w zakresie działań o charakterze diagnostycznym lub profilaktycznym, zaś finansowanie leczenia jest możliwe wyłącznie w ramach opieki długoterminowej, jako wsparcie towarzyszące.</w:t>
      </w:r>
      <w:r>
        <w:br/>
        <w:t>W uzasadnionych przypadkach powyższe instrumenty mogą zostać uzupełnione o:</w:t>
      </w:r>
      <w:r>
        <w:br/>
        <w:t>• działania poprawiające warunki mieszkaniowe, w celu zwiększenia możliwości integracji na rynku pracy i poprawy jakości życia (bez przekazywania im środków finansowych),</w:t>
      </w:r>
      <w:r>
        <w:br/>
        <w:t>• działania mające na celu wzrost kompetencji rodzin w zakresie spędzania czasu wolnego oraz udziału w kulturze, w celu wzmacniania rodzinnych więzi,</w:t>
      </w:r>
      <w:r>
        <w:br/>
        <w:t>• wsparcie transportowe dla osób wykluczonych komunikacyjnie,</w:t>
      </w:r>
      <w:r>
        <w:br/>
        <w:t>• działania mające na celu utrzymanie pracy lub zatrudnienie lepszej jakości, dające poczucie stabilności i trwałości.</w:t>
      </w:r>
      <w:r>
        <w:br/>
        <w:t>Powyższe działania powinny stanowić część zintegrowanego zestawu działań służących poprawie zdolności do zatrudnienia.</w:t>
      </w:r>
      <w:r>
        <w:br/>
        <w:t>II. Aktywizacja społeczna i zawodowa w ramach podmiotów integracji społecznej</w:t>
      </w:r>
      <w:r>
        <w:br/>
        <w:t>Wspierane będą usługi służące aktywizacji społecznej i zawodowej uczestników świadczone przez podmioty integracji społecznej, takie jak centra integracji społecznej, kluby integracji społecznej, zakłady aktywności zawodowej i warsztaty terapii zajęciowej.</w:t>
      </w:r>
      <w:r>
        <w:br/>
        <w:t>Wsparcie dotyczyło będzie tworzenia nowych oraz rozszerzenia działalności istniejących podmiotów.</w:t>
      </w:r>
      <w:r>
        <w:br/>
        <w:t>Planowane jest udzielanie wsparcia na obszarach, które zgłaszają zapotrzebowanie na tworzenie oraz rozwój już istniejących CIS, KIS, WTZ, ZAZ.</w:t>
      </w:r>
      <w:r>
        <w:br/>
        <w:t>Dofinansowane będą projekty obejmujące m.in. działania mające na celu:</w:t>
      </w:r>
      <w:r>
        <w:br/>
        <w:t>• realizację komponentu wspierającego proces reintegracji uczestników (element obligatoryjny),</w:t>
      </w:r>
      <w:r>
        <w:br/>
        <w:t>• analizę oraz wybór profilu tworzonej lub rozwijanej działalności z uwzględnieniem lokalnych potrzeb (uczestników oraz rynku),</w:t>
      </w:r>
      <w:r>
        <w:br/>
      </w:r>
      <w:r>
        <w:lastRenderedPageBreak/>
        <w:t>• przystosowanie do potrzeb uczestników zajęć pomieszczeń przeznaczonych na reintegrację zawodową i społeczną,</w:t>
      </w:r>
      <w:r>
        <w:br/>
        <w:t>• wyposażenie pomieszczeń oraz przygotowanie stanowisk pracy, w tym zapewnienie urządzeń i materiałów niezbędnych do prowadzenia działalności,</w:t>
      </w:r>
      <w:r>
        <w:br/>
        <w:t>• zatrudnienie niezbędnego personelu.</w:t>
      </w:r>
      <w:r>
        <w:br/>
        <w:t>W obu powyższych typach, jako działania uzupełniające usługi aktywnej integracji, istnieje możliwość realizacji działań o charakterze środowiskowym, wzmacniających lub odbudowujących naturalne systemy wsparcia, takie jak rodzina i lokalna społeczność, obejmujące np.: mediacje, terapie rodzinne, poradnictwo rodzinne, realizacja programów aktywności lokalnej.</w:t>
      </w:r>
      <w:r>
        <w:br/>
        <w:t>W uzasadnionych przypadkach wskazane jest także zapewnienie dostępu do niezbędnych usług społecznych.</w:t>
      </w:r>
      <w:r>
        <w:br/>
        <w:t>Ogólne zasady realizacji projektów</w:t>
      </w:r>
      <w:r>
        <w:br/>
        <w:t>Warunki realizacji projektów:</w:t>
      </w:r>
      <w:r>
        <w:br/>
        <w:t>1. Projekty realizowane będą zgodnie z:</w:t>
      </w:r>
      <w:r>
        <w:br/>
        <w:t>a) Rozporządzeniem ogólnym i Rozporządzeniem EFS+.</w:t>
      </w:r>
      <w:r>
        <w:br/>
        <w:t>b) Ustawą:</w:t>
      </w:r>
      <w:r>
        <w:br/>
        <w:t>­- z 28.04.2022 r. o zasadach realizacji zadań finansowanych ze środków europejskich w perspektywie finansowej 2021–2027 z późn. zm.,</w:t>
      </w:r>
      <w:r>
        <w:br/>
        <w:t>­- z 12.03.2004 r. o pomocy społecznej z późn. zm.</w:t>
      </w:r>
      <w:r>
        <w:br/>
        <w:t>c)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r>
      <w:r>
        <w:br/>
        <w:t>2. Potrzeba wsparcia w ramach ZAZ i WTZ powinna wynikać z Regionalnego Planu Rozwoju Usług Społecznych i Deinstytucjonalizacji dla WM na lata 2023-2025. Wsparcie w ramach WTZ i ZAZ może być zapewnione przez ograniczony czas dla konkretnego uczestnika (1-2 lata). Warunkiem wsparcia w ramach WTZ jest zaoferowanie uczestnikom realnej ścieżki dojścia do ZAZ (lub innej formy zatrudnienia). Wsparcie w ramach ZAZ jest możliwe pod warunkiem, że 5-10% uczestników ZAZ wejdzie na otwarty rynek pracy/zarejestruje się w Urzędzie Pracy,</w:t>
      </w:r>
      <w:r>
        <w:br/>
        <w:t>3. Wnioskodawca zapewnia trwałość podmiotów reintegracyjnych utworzonych ze środków EFS+ po zakończeniu realizacji projektu, co najmniej przez okres odpowiadający okresowi realizacji projektu.</w:t>
      </w:r>
      <w:r>
        <w:br/>
        <w:t>4. Ze środków EFS nie są finansowane bierne formy pomocy w postaci zasiłków. Świadczenia te mogą być uznane za wkład własny do projektu.</w:t>
      </w:r>
      <w:r>
        <w:br/>
        <w:t xml:space="preserve">5. Beneficjenci programu regionalnego, realizujący projekty w ramach działania 8.1 mogą wnioskować do programu FERS o środki na jego umiędzynarodowienie, w tym na adaptację zagranicznych rozwiązań w Polsce lub równoległe tworzenie przez partnerów nowych rozwiązań. Współpraca, w tym wymiana wiedzy i doświadczeń oraz konsultacje z partnerami powinny dotyczyć aktywnego włączenia społecznego w celu promowania równości szans, niedyskryminacji i aktywnego uczestnictwa oraz zwiększania </w:t>
      </w:r>
      <w:r>
        <w:lastRenderedPageBreak/>
        <w:t>zdolności do zatrudnienia, w szczególności grup w niekorzystnej sytuacji.</w:t>
      </w:r>
      <w:r>
        <w:br/>
        <w:t>6. Przewiduje się zorganizowanie oddzielnego naboru na projekty wynikające z LSR.</w:t>
      </w:r>
      <w:r>
        <w:br/>
        <w:t>Preferowane mogą być projekty:</w:t>
      </w:r>
      <w:r>
        <w:br/>
        <w:t>1. skierowane do osób w najtrudniejszej sytuacji:</w:t>
      </w:r>
      <w:r>
        <w:br/>
        <w:t>• doświadczających wielokrotnego wykluczenia społecznego rozumianego jako wykluczenie z powodu więcej niż jednej z przesłanek kwalifikujących je do wsparcia w projekcie lub spełniających więcej niż jedną przesłankę określoną w art. 7 ustawy z dnia 12 marca 2004 r. o pomocy społecznej,</w:t>
      </w:r>
      <w:r>
        <w:br/>
        <w:t>• o znacznym lub umiarkowanym stopniu niepełnosprawności,</w:t>
      </w:r>
      <w:r>
        <w:br/>
        <w:t>• z niepełnosprawnością sprzężoną, osób z chorobami psychicznymi, osób z niepełnosprawnością intelektualną i osób z całościowymi zaburzeniami rozwojowymi (w rozumieniu zgodnym z Międzynarodową Statystyczną Klasyfikacją Chorób i Problemów Zdrowotnych ICD10),</w:t>
      </w:r>
      <w:r>
        <w:br/>
        <w:t>• korzystających z programu FE PŻ.</w:t>
      </w:r>
      <w:r>
        <w:br/>
        <w:t>• opuszczających placówki opieki instytucjonalnej,</w:t>
      </w:r>
      <w:r>
        <w:br/>
        <w:t>• wykluczonych komunikacyjnie,</w:t>
      </w:r>
      <w:r>
        <w:br/>
        <w:t>• osób, które opuściły jednostki penitencjarne w terminie ostatnich 12 miesięcy (liczonych od dnia zwolnienia/opuszczenia jednostki penitencjarnej do dnia przystąpienia do projektu).</w:t>
      </w:r>
      <w:r>
        <w:br/>
        <w:t>2. wykorzystujące kontrakt socjalny albo umowę na wzór kontraktu socjalnego,</w:t>
      </w:r>
      <w:r>
        <w:br/>
        <w:t>3. realizowane w partnerstwie wielosektorowym,</w:t>
      </w:r>
      <w:r>
        <w:br/>
        <w:t>4. skierowane do osób w wieku do 29 lat (Gwarancje dla Młodych).</w:t>
      </w:r>
      <w:r>
        <w:br/>
        <w:t>Działania skierowane do osób w wieku 15–29 lat są zgodne z zaleceniem Rady z dnia 30 października 2020 r. w sprawie pomostu do zatrudnienia – wzmocnienia gwarancji dla młodzieży oraz zastępującym zalecenie Rady z dnia 22 kwietnia 2013 r. w sprawie ustanowienia gwarancji dla młodzieży (Dz. Urz. UE C 372 z 04.11.2020, str. 1) i z polskim Planem Gwarancji dla młodzieży.</w:t>
      </w:r>
      <w:r>
        <w:br/>
        <w:t>5.  skierowane na obszary strategicznej interwencji (OSI) wyznaczone w KSRR i wynikające z SR WM 2030+, tj. miast średnich tracących funkcje społeczno-gospodarcze oraz gmin zagrożonych trwałą marginalizacją,</w:t>
      </w:r>
      <w:r>
        <w:br/>
        <w:t>6. realizowane w ramach MSIT lub wynikające z GPR,</w:t>
      </w:r>
      <w:r>
        <w:br/>
        <w:t>7. wynikające z LSR.</w:t>
      </w:r>
    </w:p>
    <w:p w14:paraId="7F7143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72E48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59B0E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88FA6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9F7E1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58282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1AD15D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CFC8D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2FD9DC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3F875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7DCAE3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B85A2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0AA7C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76895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724B23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79D92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02F89C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69B48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5E292C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C9F86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EF6BA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A6F0B2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Służby publiczne</w:t>
      </w:r>
    </w:p>
    <w:p w14:paraId="310C33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C0DAB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niedyskryminacja, szkolenia, szkolenie_zawodowe, terapia_zajęciowa, wsparcie_dla_młodych, zakłady_aktywności_zawodowej_ZAZ, zatrudnienie_wspomagane</w:t>
      </w:r>
    </w:p>
    <w:p w14:paraId="7366A9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48AD07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1C6B40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99A9E66" w14:textId="41E5734D"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40" w:history="1">
        <w:r w:rsidRPr="005B2474">
          <w:rPr>
            <w:rStyle w:val="Hipercze"/>
          </w:rPr>
          <w:t>https://funduszeuedlamazowsza.eu/uchwaly-km-fem/</w:t>
        </w:r>
      </w:hyperlink>
    </w:p>
    <w:p w14:paraId="1BBBA7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90E965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FAB09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2F9002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WLWK-EECO18 - Liczba objętych wsparciem podmiotów administracji publicznej lub służb publicznych na szczeblu krajowym, regionalnym lub lokalnym</w:t>
      </w:r>
    </w:p>
    <w:p w14:paraId="42B8C4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4555F9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0E3F35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29ED51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WLWK-EECO02+04 - Liczba osób niezatrudnionych objętych wsparciem w programie</w:t>
      </w:r>
    </w:p>
    <w:p w14:paraId="106E86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7B256D8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65E6F8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68CEC2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5F02263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0812F6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27043B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687D39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70F6F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164191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6C77968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42D7316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549028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962DAD5"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4" w:name="_Toc237347988"/>
      <w:r>
        <w:rPr>
          <w:rFonts w:ascii="Calibri" w:hAnsi="Calibri" w:cs="Calibri"/>
          <w:sz w:val="32"/>
        </w:rPr>
        <w:t>Działanie FEMA.08.02 Ekonomia społeczna</w:t>
      </w:r>
      <w:bookmarkEnd w:id="44"/>
    </w:p>
    <w:p w14:paraId="207200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09BA0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7D5DC5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1738A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188409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C6EAD6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41 670 589,00</w:t>
      </w:r>
    </w:p>
    <w:p w14:paraId="5D0014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7222D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27 650 000,00</w:t>
      </w:r>
    </w:p>
    <w:p w14:paraId="2534DF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85FA6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138 - Wsparcie na rzecz ekonomii społecznej i przedsiębiorstw społecznych</w:t>
      </w:r>
    </w:p>
    <w:p w14:paraId="08888B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96C5B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1.</w:t>
      </w:r>
      <w:r>
        <w:tab/>
        <w:t>Wsparcie przedsiębiorstw społecznych i podmiotów ekonomii społecznej</w:t>
      </w:r>
      <w:r>
        <w:br/>
        <w:t>Dofinansowanie będą mogły otrzymać m.in. projekty mające na celu:</w:t>
      </w:r>
      <w:r>
        <w:br/>
        <w:t>•</w:t>
      </w:r>
      <w:r>
        <w:tab/>
        <w:t>świadczenie usług wsparcia dla rozwoju ekonomii społecznej dla PES oraz PS, w tym usług animacyjnych, inkubacyjnych i biznesowych OWES - zgodnie z KPRES oraz ustawą o ekonomii społecznej m.in.:</w:t>
      </w:r>
      <w:r>
        <w:br/>
        <w:t>-</w:t>
      </w:r>
      <w:r>
        <w:tab/>
        <w:t>działania promujące ideę partnerstwa w jst i wykorzystanie doświadczenia OWES w tym zakresie;</w:t>
      </w:r>
      <w:r>
        <w:br/>
        <w:t>-</w:t>
      </w:r>
      <w:r>
        <w:tab/>
        <w:t>usługi wsparcia rozwoju ekonomii społecznej w zakresie animacji oraz wsparcia tworzenia PS szczególnie w obszarze świadczenia usług społecznych oraz zielonej gospodarki;</w:t>
      </w:r>
      <w:r>
        <w:br/>
        <w:t>-</w:t>
      </w:r>
      <w:r>
        <w:tab/>
        <w:t>usługi wsparcia rozwoju istniejących PS w tworzeniu nowych usług na szczeblu lokalnym szczególnie w obszarze świadczenia usług społecznych, zielonej gospodarki, gospodarki odpadami w tym recyklingu;</w:t>
      </w:r>
      <w:r>
        <w:br/>
        <w:t>-</w:t>
      </w:r>
      <w:r>
        <w:tab/>
        <w:t>działania na rzecz podnoszenia kwalifikacji i doświadczenia zawodowego pracowników PES.</w:t>
      </w:r>
      <w:r>
        <w:br/>
        <w:t>•</w:t>
      </w:r>
      <w:r>
        <w:tab/>
        <w:t>realizację na rzecz pracowników zagrożonych wykluczeniem społecznym działań z zakresu reintegracji społecznej i zawodowej oraz readaptacji na podstawie indywidualnego planu reintegracji w PS (zgodnie z ustawą o ekonomii społecznej);</w:t>
      </w:r>
      <w:r>
        <w:br/>
        <w:t>•</w:t>
      </w:r>
      <w:r>
        <w:tab/>
        <w:t>bezzwrotne wsparcie finansowe na tworzenie nowych miejsc pracy i ich utrzymanie w PS lub PES przekształcanym w PS:</w:t>
      </w:r>
      <w:r>
        <w:br/>
        <w:t>-</w:t>
      </w:r>
      <w:r>
        <w:tab/>
        <w:t>wsparcie finansowe na tworzenie i utrzymanie miejsc pracy w PS lub PES przekształcanym w PS jest kwalifikowalne wyłącznie w formie stawek jednostkowych, które podlegają indeksacji;</w:t>
      </w:r>
      <w:r>
        <w:br/>
        <w:t>-</w:t>
      </w:r>
      <w:r>
        <w:tab/>
        <w:t>wsparcie finansowe jest udzielane wyłącznie na tworzenie nowych miejsc pracy dla osób, o których mowa w art. 2 pkt 6 ustawy z dnia 5 sierpnia 2022 r. o ekonomii społecznej;</w:t>
      </w:r>
      <w:r>
        <w:br/>
        <w:t>•</w:t>
      </w:r>
      <w:r>
        <w:tab/>
        <w:t>w części projektu dot. dotacji na utworzenie i utrzymanie miejsca pracy w PS, maksymalny procentowy poziom dofinansowania całkowitego wydatków kwalifikowalnych na poziomie projektu (środki UE + współfinansowanie ze środków krajowych) wynosi 100%.</w:t>
      </w:r>
      <w:r>
        <w:br/>
        <w:t>Warunki realizacji projektów:</w:t>
      </w:r>
      <w:r>
        <w:br/>
        <w:t>1. Projekty realizowane będą zgodnie z:</w:t>
      </w:r>
      <w:r>
        <w:br/>
        <w:t>a) Rozporządzeniem ogólnym i Rozporządzeniem EFS+.</w:t>
      </w:r>
      <w:r>
        <w:br/>
        <w:t>b) Ustawą:</w:t>
      </w:r>
      <w:r>
        <w:br/>
        <w:t>­</w:t>
      </w:r>
      <w:r>
        <w:tab/>
        <w:t>z 28.04.2022 r. o zasadach realizacji zadań finansowanych ze środków europejskich w perspektywie finansowej 2021–2027 z późn.zm.</w:t>
      </w:r>
      <w:r>
        <w:br/>
        <w:t>­</w:t>
      </w:r>
      <w:r>
        <w:tab/>
        <w:t>z 05.08.2022 r. o ekonomii społecznej z późn.zm.</w:t>
      </w:r>
      <w:r>
        <w:br/>
      </w:r>
      <w:r>
        <w:lastRenderedPageBreak/>
        <w:t>c) Wytycznymi na lata 2021-2027 dotyczącymi:</w:t>
      </w:r>
      <w:r>
        <w:br/>
        <w:t>­</w:t>
      </w:r>
      <w:r>
        <w:tab/>
        <w:t>kwalifikowalności wydatków,</w:t>
      </w:r>
      <w:r>
        <w:br/>
        <w:t>­</w:t>
      </w:r>
      <w:r>
        <w:tab/>
        <w:t>realizacji projektów z udziałem środków EFS+ w regionalnych programach,</w:t>
      </w:r>
      <w:r>
        <w:br/>
        <w:t>­</w:t>
      </w:r>
      <w:r>
        <w:tab/>
        <w:t>realizacji zasad równościowych w ramach funduszy unijnych,</w:t>
      </w:r>
      <w:r>
        <w:br/>
        <w:t>­</w:t>
      </w:r>
      <w:r>
        <w:tab/>
        <w:t>monitorowania postępu rzeczowego realizacji programów,</w:t>
      </w:r>
      <w:r>
        <w:br/>
        <w:t>­</w:t>
      </w:r>
      <w:r>
        <w:tab/>
        <w:t>wyboru projektów,</w:t>
      </w:r>
      <w:r>
        <w:br/>
        <w:t>­</w:t>
      </w:r>
      <w:r>
        <w:tab/>
        <w:t>informacji i promocji Funduszy Europejskich.</w:t>
      </w:r>
      <w:r>
        <w:br/>
        <w:t>d)</w:t>
      </w:r>
      <w:r>
        <w:tab/>
        <w:t>Innymi aktami:</w:t>
      </w:r>
      <w:r>
        <w:br/>
        <w:t>­</w:t>
      </w:r>
      <w:r>
        <w:tab/>
        <w:t>„Krajowym Programem Rozwoju Ekonomii Społecznej do 2023 roku. Ekonomia solidarności społecznej” oraz jego aktualizacją.</w:t>
      </w:r>
      <w:r>
        <w:br/>
        <w:t>­</w:t>
      </w:r>
      <w:r>
        <w:tab/>
        <w:t>Regionalnym Planem Rozwoju Ekonomii Społecznej w Województwie Mazowieckim.</w:t>
      </w:r>
      <w:r>
        <w:br/>
        <w:t>2. Usługi wsparcia ekonomii społecznej realizowane przez OWES są zgodne z art. 29 ustawy z 05.08.2022 r. o ekonomii społecznej.</w:t>
      </w:r>
      <w:r>
        <w:br/>
        <w:t>3. Wsparcie będzie realizowane wyłącznie przez akredytowane OWES.</w:t>
      </w:r>
      <w:r>
        <w:br/>
        <w:t>4.</w:t>
      </w:r>
      <w:r>
        <w:tab/>
        <w:t>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w:t>
      </w:r>
    </w:p>
    <w:p w14:paraId="4D03541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3BD46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F344E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4AD2F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98</w:t>
      </w:r>
    </w:p>
    <w:p w14:paraId="330DA6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DC011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3C5C7B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306E0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79D8194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24FA0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 25% stawka ryczałtowa na koszty pośrednie w oparciu o metodykę IZ (podstawa wyliczenia: koszty bezpośrednie) [art. 54(c) CPR], stawka jednostkowa w oparciu o metodykę IZ [art. 53(3)(a) CPR], uproszczona metoda rozliczania wydatków w oparciu o projekt budżetu [art. 53(3)(b) CPR]</w:t>
      </w:r>
    </w:p>
    <w:p w14:paraId="73D3D08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FF2E5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46D0D5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6A6CAC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67BE29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54191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3F6C7B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FDD7B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2EDE12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8669E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3DFC1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A0E5A5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Służby publiczne</w:t>
      </w:r>
    </w:p>
    <w:p w14:paraId="03AD4A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A148F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aktywizacja_społeczna, aktywizacja_zawodowa, dotacje_na_miejsca_pracy, ekonomia_społeczna, partnerstwo, przedsiębiorczość_społeczna</w:t>
      </w:r>
    </w:p>
    <w:p w14:paraId="71CD39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6910C1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42CD69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D47BB0F" w14:textId="040C9334"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41" w:history="1">
        <w:r w:rsidRPr="005B2474">
          <w:rPr>
            <w:rStyle w:val="Hipercze"/>
          </w:rPr>
          <w:t>https://funduszeuedlamazowsza.eu/uchwaly-km-fem/</w:t>
        </w:r>
      </w:hyperlink>
    </w:p>
    <w:p w14:paraId="23E009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4DE8E3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490323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1862D8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231FFD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1D56ADD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WLWK-EECO16 - Liczba osób w kryzysie bezdomności lub dotkniętych wykluczeniem z dostępu do mieszkań, objętych wsparciem w programie</w:t>
      </w:r>
    </w:p>
    <w:p w14:paraId="21577A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33F9DA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133093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WLWK-PLHCO01 - Liczba podmiotów ekonomii społecznej objętych wsparciem</w:t>
      </w:r>
    </w:p>
    <w:p w14:paraId="4990B1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4EF131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5FD1B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WLWK-PLHCR01 - Liczba miejsc pracy utworzonych w przedsiębiorstwach społecznych</w:t>
      </w:r>
    </w:p>
    <w:p w14:paraId="2A1EB1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68F34E8"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5" w:name="_Toc237347989"/>
      <w:r>
        <w:rPr>
          <w:rFonts w:ascii="Calibri" w:hAnsi="Calibri" w:cs="Calibri"/>
          <w:sz w:val="32"/>
        </w:rPr>
        <w:t>Działanie FEMA.08.03 Potencjał partnerów społecznych i organizacji pozarządowych</w:t>
      </w:r>
      <w:bookmarkEnd w:id="45"/>
    </w:p>
    <w:p w14:paraId="6EEDA6A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E2071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2DBE54C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9C82A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F2349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57BAE1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12 110 991,00</w:t>
      </w:r>
    </w:p>
    <w:p w14:paraId="377132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CB67A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7 908 710,00</w:t>
      </w:r>
    </w:p>
    <w:p w14:paraId="4F818C8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7F977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152 - Działania na rzecz promowania równości szans i aktywnego udziału w życiu społecznym</w:t>
      </w:r>
    </w:p>
    <w:p w14:paraId="7879B6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063E74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realizowany będzie mógł być następujący typ projektów: </w:t>
      </w:r>
      <w:r>
        <w:br/>
        <w:t>Wzmocnienie potencjału partnerów społecznych i organizacji pozarządowych w obszarze zasad horyzontalnych UE.</w:t>
      </w:r>
      <w:r>
        <w:br/>
        <w:t>Dofinansowanie będą mogły otrzymać m.in. projekty:</w:t>
      </w:r>
      <w:r>
        <w:br/>
        <w:t xml:space="preserve">- mające na celu promocję wartości UE, zasad Europejskiego filaru praw socjalnych (EFPS), Karty praw podstawowych Unii Europejskiej (KPP UE), niedyskryminacji i zarządzania różnorodnością w obszarze </w:t>
      </w:r>
      <w:r>
        <w:lastRenderedPageBreak/>
        <w:t>edukacji, rynku pracy, włączenia społecznego i zdrowia. Działania te powinny przyczyniać się do realizacji celów polityk publicznych i celów EFS+.</w:t>
      </w:r>
      <w:r>
        <w:br/>
        <w:t>Przykładowe cele z Planu działania na rzecz EFPS to wolność wyboru zawodu i prawo do podejmowania pracy, wspieranie równych szans grup niedostatecznie reprezentowanych, integracja osób z niepełnosprawnościami i dostęp do podstawowych usług.</w:t>
      </w:r>
      <w:r>
        <w:br/>
        <w:t>Przykładowe wartości z KPP UE to godność, wolność, równość, solidarność, prawa obywatelskie i wymiar sprawiedliwości.</w:t>
      </w:r>
      <w:r>
        <w:br/>
        <w:t>- polegające na organizowaniu działań promocyjnych i komunikacyjnych, warsztatów i szkoleń w zakresie niedyskryminacji i zarządzania różnorodnością, w tym dyskryminacji ze względu na orientację seksualną,</w:t>
      </w:r>
      <w:r>
        <w:br/>
        <w:t>- mające na celu podnoszenie świadomości na temat przepisów i polityk antydyskryminacyjnych,</w:t>
      </w:r>
      <w:r>
        <w:br/>
        <w:t>- obejmujące współpracę ze społecznościami lokalnymi, społeczeństwem obywatelskim w celu zwalczania dyskryminacji, w tym działania promocyjne, kampanie informacyjne i inicjatywy informacyjne z udziałem „ambasadorów” (osób uznanych i szanowanych w społeczności docelowej),</w:t>
      </w:r>
      <w:r>
        <w:br/>
        <w:t>- bezpośrednio związane ze zwalczaniem wszelkich form dyskryminacji – m.in. stworzenie systemu wsparcia dla osób dyskryminowanych (np. ofiar mowy nienawiści lub przemocy ze względu na orientację seksualną, pochodzenie etniczne, niepełnosprawność i inne powody).</w:t>
      </w:r>
      <w:r>
        <w:br/>
        <w:t xml:space="preserve">Forma prowadzonych działań możliwych do realizacji w powyższych obszarach tematycznych to m.in. działania edukacyjne, aktywizujące, promocyjne, rzecznicze, strażnicze i interwencyjne. </w:t>
      </w:r>
      <w:r>
        <w:br/>
        <w:t>W ramach projektu przewiduje się dodatkowy moduł, w ramach którego realizowane mogą być m.in. działania szkoleniowe, doradcze dla pracowników organizacji, którzy będą mogli podnieść swoje kompetencje w zakresie jej działań statutowych, a także polegające na skorzystaniu z innych usług czy uzupełnienia wyposażenia niezbędnych do wzmocnienia potencjału danej organizacji. Wszelkie działania podejmowane w ramach dodatkowego modułu powinny być zbieżne z celami realizowanego projektu.</w:t>
      </w:r>
      <w:r>
        <w:br/>
        <w:t>Ogólne zasady realizacji projektów</w:t>
      </w:r>
      <w:r>
        <w:br/>
        <w:t>Warunki realizacji projektów:</w:t>
      </w:r>
      <w:r>
        <w:br/>
        <w:t>a) Rozporządzeniem ogólnym i Rozporządzeniem EFS+.</w:t>
      </w:r>
      <w:r>
        <w:br/>
        <w:t>b) Ustawą:</w:t>
      </w:r>
      <w:r>
        <w:br/>
        <w:t>­</w:t>
      </w:r>
      <w:r>
        <w:tab/>
        <w:t>z 28.04.2022 r. o zasadach realizacji zadań finansowanych ze środków europejskich w perspektywie finansowej 2021–2027 z późn.zm.</w:t>
      </w:r>
      <w:r>
        <w:br/>
        <w:t>­</w:t>
      </w:r>
      <w:r>
        <w:tab/>
        <w:t>z 12.03.2004 r. o pomocy społecznej z późn.zm.</w:t>
      </w:r>
      <w:r>
        <w:br/>
        <w:t>c) Wytycznymi na lata 2021-2027 dotyczącymi:</w:t>
      </w:r>
      <w:r>
        <w:br/>
        <w:t>­</w:t>
      </w:r>
      <w:r>
        <w:tab/>
        <w:t>kwalifikowalności wydatków,</w:t>
      </w:r>
      <w:r>
        <w:br/>
        <w:t>­</w:t>
      </w:r>
      <w:r>
        <w:tab/>
        <w:t>realizacji projektów z udziałem środków EFS+ w regionalnych programach,</w:t>
      </w:r>
      <w:r>
        <w:br/>
        <w:t>­</w:t>
      </w:r>
      <w:r>
        <w:tab/>
        <w:t>realizacji zasad równościowych w ramach funduszy unijnych,</w:t>
      </w:r>
      <w:r>
        <w:br/>
        <w:t>­</w:t>
      </w:r>
      <w:r>
        <w:tab/>
        <w:t>monitorowania postępu rzeczowego realizacji programów,</w:t>
      </w:r>
      <w:r>
        <w:br/>
        <w:t>­</w:t>
      </w:r>
      <w:r>
        <w:tab/>
        <w:t>wyboru projektów,</w:t>
      </w:r>
      <w:r>
        <w:br/>
        <w:t>­</w:t>
      </w:r>
      <w:r>
        <w:tab/>
        <w:t>informacji i promocji Funduszy Europejskich.</w:t>
      </w:r>
      <w:r>
        <w:br/>
        <w:t xml:space="preserve">2. Działania w module dotyczącym budowy potencjału powinny być zaplanowane w oparciu o przeprowadzoną diagnozę potrzeb oraz skoncentrowane na rozwiązaniu wybranych, konkretnych problemów stanowiących istotną barierę ograniczającą możliwości rozwojowe organizacji. Mogą też wspierać proces uruchomienia nowych działań/usług, rozszerzenia ich na nowe grupy odbiorców lub nowy obszar. Uzasadniając wybór działań wspierających rozwój instytucjonalny organizacji, </w:t>
      </w:r>
      <w:r>
        <w:lastRenderedPageBreak/>
        <w:t xml:space="preserve">wnioskodawca powinien pokazać, w jaki sposób przyczynią się one do zwiększenia zdolności organizacji do skutecznej i efektywnej realizacji jej misji, </w:t>
      </w:r>
      <w:r>
        <w:br/>
        <w:t>3. Działania mogą być kierowane do mieszkańców regionu, grup zawodowych, pracodawców czy społeczności lokalnych,</w:t>
      </w:r>
      <w:r>
        <w:br/>
        <w:t>4. Podejmowane działania nie mogą generować ryzyka podwójnego finansowania z działaniami realizowanymi na poziomie krajowym w programie FERS,</w:t>
      </w:r>
      <w:r>
        <w:br/>
        <w:t xml:space="preserve">5. Beneficjenci programu regionalnego, realizujący projekty w ramach działania 8.3 mogą wnioskować do programu FERS o środki na jego umiędzynarodowienie, w tym na adaptację zagranicznych rozwiązań w Polsce lub równoległe tworzenie przez partnerów nowych rozwiązań. Współpraca, w tym wymiana wiedzy i doświadczeń oraz konsultacje z partnerami powinny dotyczyć aktywnego włączenia społecznego w celu promowania równości szans, niedyskryminacji i aktywnego uczestnictwa oraz zwiększania zdolności do zatrudnienia, w szczególności grup w niekorzystnej sytuacji. </w:t>
      </w:r>
      <w:r>
        <w:br/>
        <w:t>Preferowane mogą być projekty:</w:t>
      </w:r>
      <w:r>
        <w:br/>
        <w:t>1.</w:t>
      </w:r>
      <w:r>
        <w:tab/>
        <w:t>realizowane w partnerstwie wielosektorowym,</w:t>
      </w:r>
      <w:r>
        <w:br/>
        <w:t>2.</w:t>
      </w:r>
      <w:r>
        <w:tab/>
        <w:t>skierowane na obszary strategicznej interwencji (OSI) wyznaczone w KSRR i wynikające z SR WM 2030+, tj. miast średnich tracących funkcje społeczno-gospodarcze oraz gmin zagrożonych trwałą marginalizacją,</w:t>
      </w:r>
      <w:r>
        <w:br/>
        <w:t>4.</w:t>
      </w:r>
      <w:r>
        <w:tab/>
        <w:t>realizowane w ramach MSIT lub wynikające z GPR,</w:t>
      </w:r>
      <w:r>
        <w:br/>
        <w:t>5.</w:t>
      </w:r>
      <w:r>
        <w:tab/>
        <w:t>wynikające z LSR.</w:t>
      </w:r>
    </w:p>
    <w:p w14:paraId="43AD0D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0EAC4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9712D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5E77E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CF60CF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65B9C8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39076C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8298F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D79C27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325B7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8FCAD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09003C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FED25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cross-financing (%)</w:t>
      </w:r>
    </w:p>
    <w:p w14:paraId="07C6B1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6C80FC8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B63C0D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2CEA12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AD5D3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8109B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02F74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78643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4D253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społeczne i związki wyznaniowe, Partnerstwa, Partnerzy społeczni</w:t>
      </w:r>
    </w:p>
    <w:p w14:paraId="63D62E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AB057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dialog_społeczny, niedyskryminacja, szkolenia</w:t>
      </w:r>
    </w:p>
    <w:p w14:paraId="4A2BC35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BF209A6" w14:textId="4FAC729D"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42" w:history="1">
        <w:r w:rsidRPr="005B2474">
          <w:rPr>
            <w:rStyle w:val="Hipercze"/>
          </w:rPr>
          <w:t>https://funduszeuedlamazowsza.eu/uchwaly-km-fem/</w:t>
        </w:r>
      </w:hyperlink>
    </w:p>
    <w:p w14:paraId="5F68D0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30F50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D9C16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380AA0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AC788A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WLWK-PL0CO08 - Liczba organizacji partnerów społecznych objętych wsparciem</w:t>
      </w:r>
    </w:p>
    <w:p w14:paraId="23D240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WLWK-PL0CO05 - Liczba organizacji społeczeństwa obywatelskiego wspartych w co najmniej jednym z następujących obszarów: standardy i procedury zarządzania, refleksyjność, wydolność finansowa, rzecznictwo, jakość usług, współpraca międzysektorowa</w:t>
      </w:r>
    </w:p>
    <w:p w14:paraId="5406A2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1D94066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52C750D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437579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WLWK-EECO02+04 - Liczba osób niezatrudnionych objętych wsparciem w programie</w:t>
      </w:r>
    </w:p>
    <w:p w14:paraId="0CB31C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E4CECB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7822512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WLWK-EECO13 - Liczba osób z krajów trzecich objętych wsparciem w programie</w:t>
      </w:r>
    </w:p>
    <w:p w14:paraId="578FCD6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42C80E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FDCAC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WLWK-PL0CO09 - Liczba przedstawicieli organizacji partnerów społecznych objętych wsparciem</w:t>
      </w:r>
    </w:p>
    <w:p w14:paraId="1FC90D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WLWK-PL0CO07 - Liczba przedstawicieli organizacji społeczeństwa obywatelskiego (w tym wolontariuszy) objętych wsparciem w programie</w:t>
      </w:r>
    </w:p>
    <w:p w14:paraId="7F1BE4E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PROG-FEMAHCO02 - Wartość wydatków kwalifikowalnych przeznaczonych na realizację działań mających na celu wzmocnienie potencjału organizacji społeczeństwa obywatelskiego </w:t>
      </w:r>
    </w:p>
    <w:p w14:paraId="6C2933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PROG-FEMAHCO03 - Wartość wydatków kwalifikowalnych przeznaczonych na realizację działań mających na celu wzmocnienie potencjału partnerów społecznych </w:t>
      </w:r>
    </w:p>
    <w:p w14:paraId="03A8CD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DD21D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WLWK-PL0CR04 - Liczba organizacji partnerów społecznych, które zwiększyły swój potencjał</w:t>
      </w:r>
    </w:p>
    <w:p w14:paraId="00C50E7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WLWK-PL0CR01 - Liczba organizacji społeczeństwa obywatelskiego, które zwiększyły swój potencjał organizacyjny w co najmniej jednym z następujących obszarów: standardy i procedury zarządzania, refleksyjność, wydolność finansowa, rzecznictwo, jakość usług, współpraca międzysektorowa</w:t>
      </w:r>
    </w:p>
    <w:p w14:paraId="22C85C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7B9BC93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2283D5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36AA46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3D712C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WLWK-PL0CR05 - Liczba przedstawicieli organizacji partnerów społecznych, którzy podnieśli kompetencje</w:t>
      </w:r>
    </w:p>
    <w:p w14:paraId="39CF86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WLWK-PL0CR03 - Liczba przedstawicieli organizacji społeczeństwa obywatelskiego, którzy zdobyli nowe umiejętności, wiedzę lub uzyskali kwalifikacje</w:t>
      </w:r>
    </w:p>
    <w:p w14:paraId="6975AB7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23F021D"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6" w:name="_Toc237347990"/>
      <w:r>
        <w:rPr>
          <w:rFonts w:ascii="Calibri" w:hAnsi="Calibri" w:cs="Calibri"/>
          <w:sz w:val="32"/>
        </w:rPr>
        <w:t>Działanie FEMA.08.04 Integracja społeczno-zawodowa obywateli państw trzecich</w:t>
      </w:r>
      <w:bookmarkEnd w:id="46"/>
    </w:p>
    <w:p w14:paraId="2640FA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5CCB8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EFS+.CP4.I - Wspieranie integracji społeczno-gospodarczej obywateli państw trzecich, w tym migrantów</w:t>
      </w:r>
    </w:p>
    <w:p w14:paraId="39D38A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362CEF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0AB8C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ogółem (EUR)</w:t>
      </w:r>
    </w:p>
    <w:p w14:paraId="5033A3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22 479 072,00</w:t>
      </w:r>
    </w:p>
    <w:p w14:paraId="6816FA3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48933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17 416 007,00</w:t>
      </w:r>
    </w:p>
    <w:p w14:paraId="2E8A499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A36CCC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 157 - Działania na rzecz integracji społecznej obywateli państw trzecich</w:t>
      </w:r>
    </w:p>
    <w:p w14:paraId="735A9F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6A0D86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Typ projektu:   </w:t>
      </w:r>
      <w:r>
        <w:br/>
        <w:t xml:space="preserve">Kompleksowe działania w zakresie integracji społecznej, zawodowej uzupełnione niezbędnymi usługami społecznymi na rzecz obywateli państw trzecich, w tym migrantów oraz ich otoczenia </w:t>
      </w:r>
      <w:r>
        <w:br/>
        <w:t xml:space="preserve">Wsparciem objęte będą projekty mające na celu:  </w:t>
      </w:r>
      <w:r>
        <w:br/>
        <w:t xml:space="preserve"> 1. wspieranie integracji społeczno-ekonomicznej obywateli państw trzecich; </w:t>
      </w:r>
      <w:r>
        <w:br/>
        <w:t xml:space="preserve">- wspieranie migrantów oraz pracodawców w procesie integracji cudzoziemców na rynku pracy (w tym poradnictwo w zakresie legalizacji pracy oraz praw pracowniczych, poradnictwo prawne, obywatelskie oraz psychologiczne); </w:t>
      </w:r>
      <w:r>
        <w:br/>
        <w:t xml:space="preserve">- usługi dla cudzoziemców, które pozwolą im na lepsze funkcjonowanie w polskim społeczeństwie, m.in. kursy języka polskiego, szkolenia z zakresu wartości i kultury polskiej, szkolenia zawodowe, wprowadzenie w polski system pomocy społecznej, ochrony zdrowia, edukacji, rynku pracy, pomoc w poszukiwaniu i wynajmie mieszkania, skorzystania z mieszkania treningowego czy wspomaganego wsparcie tłumacza; </w:t>
      </w:r>
      <w:r>
        <w:br/>
        <w:t xml:space="preserve">- działania na rzecz społeczności przyjmującej, osób z otoczenia migrantów oraz uwzględnienie otoczenia (diaspory, instytucje, pracodawcy);   </w:t>
      </w:r>
      <w:r>
        <w:br/>
        <w:t>2. działania z zakresu tworzenia miejsc spotkań społeczności np. w instytucjach kultury na programy wspierające integrację kulturową, przybliżające polską kulturę oraz pozwalające na integrowanie się społeczności lokalnej z jej nowymi członkami (obywatelami państw trzecich);</w:t>
      </w:r>
      <w:r>
        <w:br/>
        <w:t xml:space="preserve">3. wsparcie skierowane do dzieci w środowisku szkolnym, zapewnienie opieki na czas uczestnictwa w kursach, szkoleniach czy innych formach aktywizacji społecznej czy zawodowej rodziców oraz działania integracyjne skierowane do dzieci obywateli państw trzecich oraz ich rodziców ze społecznością lokalną; </w:t>
      </w:r>
      <w:r>
        <w:br/>
        <w:t xml:space="preserve">4. tworzenie partnerstw z władzami lokalnymi, partnerami społecznymi, organizacjami reprezentującymi obywateli państw trzecich oraz sieci network; </w:t>
      </w:r>
      <w:r>
        <w:br/>
        <w:t xml:space="preserve">5. realizacja wsparcia poprzez Centra Integracji Cudzoziemców funkcjonujących według modelu wypracowanego w ramach projektu “Budowanie struktur dla integracji cudzoziemców w Polsce”; </w:t>
      </w:r>
      <w:r>
        <w:br/>
        <w:t>6. budowanie i wzmocnienie potencjału instytucjonalnego oraz wzmacnianie współpracy międzyinstytucjonalnej na rzecz integracji migrantów, w tym szkolenia dla kadr pracujących ze społecznością migrantów;</w:t>
      </w:r>
      <w:r>
        <w:br/>
        <w:t xml:space="preserve">7. rozwój usług społecznych niezbędnych do zapewnienia kompleksowego wsparcia dla obywateli </w:t>
      </w:r>
      <w:r>
        <w:lastRenderedPageBreak/>
        <w:t>państw trzecich i ich rodzin dostosowanych do ich indywidulanych potrzeb (w szczególności wsparcie mieszkaniowe).</w:t>
      </w:r>
      <w:r>
        <w:br/>
        <w:t>W trybie niekonkurencyjnym będzie realizowany przez MCPS projekt:</w:t>
      </w:r>
      <w:r>
        <w:br/>
        <w:t>•</w:t>
      </w:r>
      <w:r>
        <w:tab/>
        <w:t>Integracja w praktyce.</w:t>
      </w:r>
      <w:r>
        <w:br/>
      </w:r>
      <w:r>
        <w:br/>
        <w:t xml:space="preserve">Ogólne zasady realizacji projektów </w:t>
      </w:r>
      <w:r>
        <w:br/>
        <w:t xml:space="preserve">Kluczowe warunki realizacji projektów: </w:t>
      </w:r>
      <w:r>
        <w:br/>
        <w:t xml:space="preserve">1. Projekty realizowane będą w szczególności zgodnie z: </w:t>
      </w:r>
      <w:r>
        <w:br/>
        <w:t>a) Rozporządzeniem ogólnym i Rozporządzeniem EFS+.</w:t>
      </w:r>
      <w:r>
        <w:br/>
        <w:t>b) Ustawą:</w:t>
      </w:r>
      <w:r>
        <w:br/>
        <w:t>­</w:t>
      </w:r>
      <w:r>
        <w:tab/>
        <w:t>- z 28.04.2022 r. o zasadach realizacji zadań finansowanych ze środków europejskich w perspektywie finansowej 2021–2027 z późn.zm.</w:t>
      </w:r>
      <w:r>
        <w:br/>
        <w:t>­</w:t>
      </w:r>
      <w:r>
        <w:tab/>
        <w:t>- z 12.12.2013 r. o cudzoziemcach z późn.zm.</w:t>
      </w:r>
      <w:r>
        <w:br/>
        <w:t>c) Wytycznymi na lata 2021-2027 dotyczącymi:</w:t>
      </w:r>
      <w:r>
        <w:br/>
        <w:t>­</w:t>
      </w:r>
      <w:r>
        <w:tab/>
        <w:t>- kwalifikowalności wydatków,</w:t>
      </w:r>
      <w:r>
        <w:br/>
        <w:t>­</w:t>
      </w:r>
      <w:r>
        <w:tab/>
        <w:t>- realizacji projektów z udziałem środków EFS+ w regionalnych programach,</w:t>
      </w:r>
      <w:r>
        <w:br/>
        <w:t>­</w:t>
      </w:r>
      <w:r>
        <w:tab/>
        <w:t>- realizacji zasad równościowych w ramach funduszy unijnych,</w:t>
      </w:r>
      <w:r>
        <w:br/>
        <w:t>­</w:t>
      </w:r>
      <w:r>
        <w:tab/>
        <w:t>- monitorowania postępu rzeczowego realizacji programów,</w:t>
      </w:r>
      <w:r>
        <w:br/>
        <w:t>­</w:t>
      </w:r>
      <w:r>
        <w:tab/>
        <w:t>- wyboru projektów,</w:t>
      </w:r>
      <w:r>
        <w:br/>
        <w:t>­</w:t>
      </w:r>
      <w:r>
        <w:tab/>
        <w:t>- informacji i promocji Funduszy Europejskich.</w:t>
      </w:r>
      <w:r>
        <w:br/>
        <w:t>d) innymi aktami:</w:t>
      </w:r>
      <w:r>
        <w:br/>
        <w:t>- Planem działania na rzecz integracji i włączenia społecznego na lata 2021-2027,</w:t>
      </w:r>
      <w:r>
        <w:br/>
        <w:t>- Poradnikiem Komisji Europejskiej „Toolkit on the use of EU Funds for the integration of people with a migrant background” oraz z wykorzystaniem doświadczeń z projektu „Arrival Regions”</w:t>
      </w:r>
      <w:r>
        <w:br/>
        <w:t>2. Oferowane wsparcie w ramach Działania powinno być realizowane w sposób kompleksowy i zindywidualizowany, dostosowany do zdiagnozowanych specyficznych potrzeb osób wspieranych, uwzględniający specyfikę migracji w województwie mazowieckim.</w:t>
      </w:r>
      <w:r>
        <w:br/>
        <w:t>3. Wsparcie będzie skierowane do podmiotów/instytucji, które nie otrzymały środków na ten cel z programu krajowego FERS. Wsparcie obejmuje działania, które nie są finansowane z innych środków publicznych, w szczególności z Funduszu Azylu, Migracji i Integracji.</w:t>
      </w:r>
      <w:r>
        <w:br/>
        <w:t>4. Projekty będą skierowane do obywateli państw trzecich (bez obywateli UE i reemigrantów) w tym do osób objętych ochroną czasową oraz uchodźców. Osoby te muszą przebywać w Polsce legalnie, na podstawie dokumentów upoważniających do pobytu i pracy takich jak np. wiza, karta pobytu czy dokument potwierdzający objęcie ochroną.</w:t>
      </w:r>
      <w:r>
        <w:br/>
        <w:t>5. 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w:t>
      </w:r>
      <w:r>
        <w:br/>
        <w:t xml:space="preserve">Preferowane do dofinansowania mogą być projekty:  </w:t>
      </w:r>
      <w:r>
        <w:br/>
        <w:t>1. W projektach będą preferowane osoby, które po agresji Federacji Rosyjskiej na Ukrainę zostały objęte ochroną czasową.</w:t>
      </w:r>
      <w:r>
        <w:br/>
      </w:r>
      <w:r>
        <w:lastRenderedPageBreak/>
        <w:t>2. Preferencje dla osób w wieku 15-29 lat w związku z realizacją wsparcia w ramach gwarancji dla młodzieży tj. kodu interwencji 136 – Wsparcie szczególne na rzecz zatrudnienia ludzi młodych i integracji społeczno-gospodarczej ludzi młodych.</w:t>
      </w:r>
      <w:r>
        <w:br/>
        <w:t>3. Preferencje punktowe mogą być stosowane w projektach:</w:t>
      </w:r>
      <w:r>
        <w:br/>
        <w:t>•</w:t>
      </w:r>
      <w:r>
        <w:tab/>
        <w:t xml:space="preserve"> skierowanych na obszary strategicznej interwencji (OSI) wyznaczone w KSRR i wynikające z SR WM 2030+, tj. miast średnich tracących funkcje społeczno-gospodarcze oraz gmin zagrożonych trwałą marginalizacją,</w:t>
      </w:r>
      <w:r>
        <w:br/>
        <w:t>•</w:t>
      </w:r>
      <w:r>
        <w:tab/>
        <w:t>realizowanych w ramach MSIT lub wynikające z GPR,</w:t>
      </w:r>
      <w:r>
        <w:br/>
        <w:t>•</w:t>
      </w:r>
      <w:r>
        <w:tab/>
        <w:t>w których zostaną podjęte działania zachęcające wnioskodawców do udziału w naborach dotyczących rozszerzenia projektów standardowych o komponent ponadnarodowy,</w:t>
      </w:r>
      <w:r>
        <w:br/>
        <w:t>•</w:t>
      </w:r>
      <w:r>
        <w:tab/>
        <w:t>związanych z podnoszeniem umiejętności zawodowych, w tym niezbędnych z punktu widzenia regionalnej inteligentnej specjalizacji, zgodnie z odpowiednim dokumentem kierunkowym dla RIS 2030.</w:t>
      </w:r>
    </w:p>
    <w:p w14:paraId="1399C5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D2F05C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FFD6B5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80D11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86BDE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D42FD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3DF8C3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B5DD4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29B9BBB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562AC3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457509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5EC00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9D6032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624347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A1643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531A429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zgodnie z regulaminem naboru</w:t>
      </w:r>
    </w:p>
    <w:p w14:paraId="3179B9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5DBCA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7C065FB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B92BE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798B3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831D0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Służby publiczne</w:t>
      </w:r>
    </w:p>
    <w:p w14:paraId="5A1146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3BA76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aktywizacja_społeczna, aktywizacja_zawodowa, integracja_migrantów, integracja_społeczna, kompetencje_zawodowe</w:t>
      </w:r>
    </w:p>
    <w:p w14:paraId="0356B7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0BC7D4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4A1FC6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01563D7" w14:textId="02C45929"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43" w:history="1">
        <w:r w:rsidRPr="005B2474">
          <w:rPr>
            <w:rStyle w:val="Hipercze"/>
          </w:rPr>
          <w:t>https://funduszeuedlamazowsza.eu/uchwaly-km-fem/</w:t>
        </w:r>
      </w:hyperlink>
    </w:p>
    <w:p w14:paraId="0FA4012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1CD0B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522D38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2BD3E33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7AC17B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6BBAC6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776877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7DCF171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CB4ED6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14033B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5B13CC2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WLWK-PLICO05 - Liczba utworzonych Centrów Integracji Cudzoziemców</w:t>
      </w:r>
    </w:p>
    <w:p w14:paraId="218C02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WLWK-PL0CO10 - Wartość wydatków kwalifikowalnych przeznaczonych na realizację gwarancji dla młodzieży</w:t>
      </w:r>
    </w:p>
    <w:p w14:paraId="134CD99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64525B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25C3BFF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61A8E1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26DA9D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2BCCB2D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6F6E196"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7" w:name="_Toc237347991"/>
      <w:r>
        <w:rPr>
          <w:rFonts w:ascii="Calibri" w:hAnsi="Calibri" w:cs="Calibri"/>
          <w:sz w:val="32"/>
        </w:rPr>
        <w:t>Działanie FEMA.08.05 Usługi społeczne i zdrowotne</w:t>
      </w:r>
      <w:bookmarkEnd w:id="47"/>
    </w:p>
    <w:p w14:paraId="283929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403D16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1184C1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D121C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AD6EA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1EAA03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131 729 652,00</w:t>
      </w:r>
    </w:p>
    <w:p w14:paraId="71107B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06E09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99 196 012,00</w:t>
      </w:r>
    </w:p>
    <w:p w14:paraId="386805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99965E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158 - Działania w celu zwiększenia równego i szybkiego dostępu do dobrej jakości trwałych i przystępnych cenowo usług, 160 - Działania na rzecz poprawy dostępności, efektywności i odporności systemów opieki zdrowotnej (z wyłączeniem infrastruktury), 161 - Działania na rzecz poprawy dostępu do opieki długoterminowej (z wyłączeniem infrastruktury)</w:t>
      </w:r>
    </w:p>
    <w:p w14:paraId="5CE741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EC801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będą mogły być następujące typy projektów: </w:t>
      </w:r>
      <w:r>
        <w:br/>
        <w:t>I.</w:t>
      </w:r>
      <w:r>
        <w:tab/>
        <w:t xml:space="preserve">Rozwój usług społecznych świadczonych w społeczności lokalnej </w:t>
      </w:r>
      <w:r>
        <w:br/>
        <w:t xml:space="preserve">Wsparcie projektów z zakresu usług społecznych dotyczy wyłącznie usług świadczonych w społeczności </w:t>
      </w:r>
      <w:r>
        <w:lastRenderedPageBreak/>
        <w:t>lokalnej oraz ma na celu:</w:t>
      </w:r>
      <w:r>
        <w:br/>
        <w:t>1.</w:t>
      </w:r>
      <w:r>
        <w:tab/>
        <w:t xml:space="preserve">Rozwój usług opiekuńczych świadczonych w społeczności lokalnej, w formach dziennych i całodobowych świadczonych dla osób potrzebujących wsparcia w codziennym funkcjonowaniu </w:t>
      </w:r>
      <w:r>
        <w:br/>
        <w:t>2.</w:t>
      </w:r>
      <w:r>
        <w:tab/>
        <w:t xml:space="preserve">Rozwój usług asystenckich wspierających aktywność społeczną, edukacyjną lub zawodową osób z niepełnosprawnościami </w:t>
      </w:r>
      <w:r>
        <w:br/>
        <w:t>3.</w:t>
      </w:r>
      <w:r>
        <w:tab/>
        <w:t xml:space="preserve">Umożliwienie transportu indywidualnego typu door-to-door dla osób potrzebujących wsparcia w zakresie mobilności wyłącznie jako elementu wsparcia pod warunkiem kompleksowości usługi opiekuńczej </w:t>
      </w:r>
      <w:r>
        <w:br/>
        <w:t>4.</w:t>
      </w:r>
      <w:r>
        <w:tab/>
        <w:t>Rozwój usług opiekuńczych w oparciu o nowoczesne technologie informacyjno-komunikacyjne np. teleopiekę, systemy przywoławcze wyłącznie jako elementu wsparcia pod warunkiem kompleksowości usługi opiekuńczej</w:t>
      </w:r>
      <w:r>
        <w:br/>
        <w:t>5.</w:t>
      </w:r>
      <w:r>
        <w:tab/>
        <w:t xml:space="preserve">Wsparcie opiekunów faktycznych (nieformalnych) osób potrzebujących wsparcia w codziennym funkcjonowaniu, w tym opieka wytchnieniowa </w:t>
      </w:r>
      <w:r>
        <w:br/>
        <w:t>6.</w:t>
      </w:r>
      <w:r>
        <w:tab/>
        <w:t xml:space="preserve">Wsparcie procesu usamodzielniania osób przebywających w placówkach całodobowych na podstawie indywidualnych planów usamodzielniania z wykorzystaniem mieszkalnictwa wspomaganego, usług opiekuńczych, asystentury osobistej, kręgów wsparcia i innych usług specjalistycznych </w:t>
      </w:r>
      <w:r>
        <w:br/>
        <w:t>7.</w:t>
      </w:r>
      <w:r>
        <w:tab/>
        <w:t>Umożliwienie pozostania osób z niepełnosprawnościami i osób potrzebujących wsparcia w codziennym funkcjonowaniu w społeczności lokalnej, dostosowanie wsparcia do indywidualnych potrzeb tych osób, pozwalające na samodzielne funkcjonowanie</w:t>
      </w:r>
      <w:r>
        <w:br/>
        <w:t>8.</w:t>
      </w:r>
      <w:r>
        <w:tab/>
        <w:t xml:space="preserve">Wsparcie działań zapobiegających umieszczaniu osób wymagających wsparcia w placówkach instytucjonalnych  </w:t>
      </w:r>
      <w:r>
        <w:br/>
        <w:t>9.</w:t>
      </w:r>
      <w:r>
        <w:tab/>
        <w:t>Sfinansowanie działań placówkom świadczącym opiekę instytucjonalną pozwalających na rozszerzenie oferty o prowadzenie usług świadczonych w społeczności lokalnej, o ile przyczyni się to do zwiększenia liczby miejsc świadczenia usług w społeczności lokalnej oraz liczby osób objętych usługami świadczonymi w społeczności lokalnej</w:t>
      </w:r>
      <w:r>
        <w:br/>
        <w:t>10.</w:t>
      </w:r>
      <w:r>
        <w:tab/>
        <w:t xml:space="preserve">Zwiększenie liczby miejsc świadczenia usług opiekuńczych w formach stacjonarnych dla stałego lub krótkookresowego pobytu dziennego oraz w placówkach pobytu całodobowego (w których realizowane są usługi społeczne świadczone w społeczności lokalnej) </w:t>
      </w:r>
      <w:r>
        <w:br/>
        <w:t>11. Wsparcie dla mieszkań treningowych i wspomaganych oraz mieszkań z usługami/ze wsparciem polega na tworzeniu miejsc w nowo tworzonych lub istniejących mieszkaniach treningowych lub wspomaganych oraz mieszkaniach z usługami/ ze wsparciem wyłącznie pod warunkiem zwiększenia liczby miejsc w danym mieszkaniu.</w:t>
      </w:r>
      <w:r>
        <w:br/>
        <w:t>12.</w:t>
      </w:r>
      <w:r>
        <w:tab/>
        <w:t>Wsparcie prowadzące do powstania CUS i rozwój dostarczanych przez nie usług, będący częścią projektu przy zapewnieniu realizacji usług społecznych świadczonych w społeczności lokalnej</w:t>
      </w:r>
      <w:r>
        <w:br/>
        <w:t>13.</w:t>
      </w:r>
      <w:r>
        <w:tab/>
        <w:t>Szkolenia kadr na potrzeby świadczenia usług w społeczności lokalnej, w tym zamiana/dostosowanie kompetencji pracowników placówek całodobowych w działaniach na rzecz opieki środowiskowej</w:t>
      </w:r>
      <w:r>
        <w:br/>
        <w:t>14.</w:t>
      </w:r>
      <w:r>
        <w:tab/>
        <w:t>Zwiększenie samodzielności seniorów i przeciwdziałanie zagrożeniu marginalizacją społeczną, partycypację seniorów w życiu społecznym.</w:t>
      </w:r>
      <w:r>
        <w:br/>
        <w:t>W trybie niekonkurencyjnym będzie realizowany przez MCPS projekt:</w:t>
      </w:r>
      <w:r>
        <w:br/>
        <w:t>• Zwiększenie samodzielności seniorów w miejscu ich zamieszkania.</w:t>
      </w:r>
      <w:r>
        <w:br/>
      </w:r>
      <w:r>
        <w:br/>
      </w:r>
      <w:r>
        <w:lastRenderedPageBreak/>
        <w:t>Kluczowe warunki realizacji projektów:</w:t>
      </w:r>
      <w:r>
        <w:br/>
        <w:t>1. Projekty realizowane będą w szczególności zgodnie z:</w:t>
      </w:r>
      <w:r>
        <w:br/>
        <w:t>a) Rozporządzeniem ogólnym i Rozporządzeniem EFS+.</w:t>
      </w:r>
      <w:r>
        <w:br/>
        <w:t>b) Ustawą:</w:t>
      </w:r>
      <w:r>
        <w:br/>
        <w:t>­- z 28.04.2022 r. o zasadach realizacji zadań finansowanych ze środków europejskich w perspektywie finansowej 2021–2027 z późn.zm.</w:t>
      </w:r>
      <w:r>
        <w:br/>
        <w:t>­- z 19.07.2019 r. o realizowaniu usług społecznych przez centrum usług społecznych z późn.zm.</w:t>
      </w:r>
      <w:r>
        <w:br/>
        <w:t>­- z 12.03.2004 r. o pomocy społecznej z późn.zm.</w:t>
      </w:r>
      <w:r>
        <w:br/>
        <w:t>c)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t xml:space="preserve">d) Innymi aktami: </w:t>
      </w:r>
      <w:r>
        <w:br/>
        <w:t>­- art. 19 Konwencji o prawach osób niepełnosprawnych, Komentarzem ogólnym nr 5 do tej Konwencji i Uwagami Podsumowującymi Komitetu ds. Praw Osób Niepełnosprawnych ONZ,</w:t>
      </w:r>
      <w:r>
        <w:br/>
        <w:t>­- Regionalnym Planem Rozwoju Usług Społecznych i Deinstytucjonalizacji dla WM na lata 2026-2030.</w:t>
      </w:r>
      <w:r>
        <w:br/>
      </w:r>
      <w:r>
        <w:br/>
        <w:t>2. Wsparcie dla osób będących w opiece instytucjonalnej jest możliwe wyłącznie w celu przejścia tych osób do opieki realizowanej w formie usług świadczonych w społeczności lokalnej. Wsparcie musi przyczyniać się do zwiększenia liczby miejsc świadczenia usług opiekuńczych świadczonych w społeczności lokalnej;</w:t>
      </w:r>
      <w:r>
        <w:br/>
        <w:t>3. Przewiduje się ogłoszenie odrębnego naboru dla projektów wynikających z LSR</w:t>
      </w:r>
      <w:r>
        <w:br/>
        <w:t>4. 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w:t>
      </w:r>
      <w:r>
        <w:br/>
        <w:t>Preferowane do dofinansowania mogą być projekty (Typ I):</w:t>
      </w:r>
      <w:r>
        <w:br/>
        <w:t>1.</w:t>
      </w:r>
      <w:r>
        <w:tab/>
        <w:t>w których objęte wsparciem będą osoby: o znacznym lub umiarkowanym stopniu niepełnosprawności, z niepełnosprawnością sprzężoną, z chorobami psychicznymi, z niepełnosprawnością intelektualną, z całościowymi zaburzeniami rozwojowymi, korzystające z programu FE PŻ, zamieszkujące samotnie, w kryzysie bezdomności, dotknięte wykluczeniem z dostępu do mieszkań lub zagrożonych bezdomnością oraz dzieci wychowujących się poza rodziną biologiczną.</w:t>
      </w:r>
      <w:r>
        <w:br/>
        <w:t>2.</w:t>
      </w:r>
      <w:r>
        <w:tab/>
        <w:t>w których realizatorem wsparcia będzie PES.</w:t>
      </w:r>
      <w:r>
        <w:br/>
        <w:t>3.</w:t>
      </w:r>
      <w:r>
        <w:tab/>
        <w:t>partnerskie realizowane przez administrację publiczną i PES.</w:t>
      </w:r>
      <w:r>
        <w:br/>
        <w:t>4.</w:t>
      </w:r>
      <w:r>
        <w:tab/>
        <w:t>wynikające z LSR.</w:t>
      </w:r>
      <w:r>
        <w:br/>
        <w:t>5.</w:t>
      </w:r>
      <w:r>
        <w:tab/>
        <w:t>w których będą działania zachęcające wnioskodawców do udziału w naborach dotyczących rozszerzenia projektów o komponent ponadnarodowy.</w:t>
      </w:r>
      <w:r>
        <w:br/>
        <w:t>II.</w:t>
      </w:r>
      <w:r>
        <w:tab/>
        <w:t>Wsparcie procesu deinstytucjonalizacji w ochronie zdrowia</w:t>
      </w:r>
      <w:r>
        <w:br/>
      </w:r>
      <w:r>
        <w:lastRenderedPageBreak/>
        <w:t>W ramach wsparcia procesu deinstytucjonalizacji zdrowotnej opieki długoterminowej i usług dot. zdrowia psychicznego planowane są przedsięwzięcia, zgodne z ZP, w których poprawiony zostanie dostęp do usług zdrowotnych w formie zdeinstytucjonalizowanej, przede wszystkim dla osób w szczególnie trudnej sytuacji społeczno-ekonomicznej, w tym: osób starszych, osób z niepełnosprawnościami, osób z chorobami neurodegeneracyjnymi, w tym otępiennymi i zaburzeniami psychicznymi np. w oparciu o innowacje społeczne w zakresie DI wypracowane dla obszaru zdrowia w ramach PO WER. Przewiduje się również wsparcie osób potrzebujących zdrowotnej opieki długoterminowej poprzez rozwój hospicjów w formie zdeinstytucjonalizowanej.</w:t>
      </w:r>
      <w:r>
        <w:br/>
        <w:t>III.</w:t>
      </w:r>
      <w:r>
        <w:tab/>
        <w:t>Programy profilaktyczne w zakresie chorób stanowiących poważny problem w regionie</w:t>
      </w:r>
      <w:r>
        <w:br/>
        <w:t>W celu poprawy dostępu do podstawowej opieki zdrowotnej i profilaktyki, planowane jest wdrażanie programów ukierunkowanych na wczesne wykrywanie chorób stanowiących istotny problem zdrowotny w województwie mazowieckim, na podstawie danych z: MPZ, WPT dla WM, mazowieckiego programu ochrony zdrowia psychicznego oraz kierunków działań w zakresie polityki zdrowotnej WM.</w:t>
      </w:r>
      <w:r>
        <w:br/>
        <w:t>W odniesieniu do przedsięwzięć wspieranych w ramach ww. działań zastosowanie będą mieć następujące zasady:</w:t>
      </w:r>
      <w:r>
        <w:br/>
        <w:t>•</w:t>
      </w:r>
      <w:r>
        <w:tab/>
        <w:t>Interwencja w obszarze zdrowia będzie podlegała uzgodnieniom na forum Komitetu Sterującego ds. Zdrowia, zgodnie z przyjętym systemem koordynacji i będzie uwzględniała obligatoryjne rekomendacje KS.</w:t>
      </w:r>
      <w:r>
        <w:br/>
        <w:t>•</w:t>
      </w:r>
      <w:r>
        <w:tab/>
        <w:t>Projekty realizowane w ramach działań z zakresu ochrony zdrowia zapewnią uczestnictwo osób, które mogą mieć problem z dostępem do usług z powodu szczególnie trudnej sytuacji społeczno-ekonomicznej, np. starszych, z niepełnosprawnościami, o niskich dochodach, w kryzysie bezdomności, pobierających świadczenia społeczne, migrantów, itp. Planowane są działania służące poprawie dostępności do usług zdrowotnych finansowanych ze środków publicznych, takie jak np.: transport na badania, informowanie o dostępnych usługach, wsparcie asystenta osobistego, tłumacza języka migowego lub obcego. Działaniami zostaną objęci w szczególności mieszkańcy gmin zagrożonych trwałą marginalizacją, miast tracących funkcje społeczno-gospodarcze, powiatów z najniższą dostępnością do określonych usług zdrowotnych (tzw. białe plamy).</w:t>
      </w:r>
      <w:r>
        <w:br/>
        <w:t>•</w:t>
      </w:r>
      <w:r>
        <w:tab/>
        <w:t>Co do zasady projekty nie będą obejmować leczenia i zabiegów medycznych innych niż na potrzeby diagnostyki. Wyjątkiem są sytuacje wynikające z UP 2021-2027, tj. możliwość tymczasowego finansowania leczenia osób potrzebujących zdrowotnej opieki długoterminowej świadczonej w formie środowiskowej np. pielęgniarskiej opieki długoterminowej w domu pacjenta, rozwoju hospicjów domowych.</w:t>
      </w:r>
      <w:r>
        <w:br/>
        <w:t>•</w:t>
      </w:r>
      <w:r>
        <w:tab/>
        <w:t>W uzasadnionych przypadkach zostanie zapewniona koordynacja usług zdrowotnych i społecznych.</w:t>
      </w:r>
      <w:r>
        <w:br/>
        <w:t>•</w:t>
      </w:r>
      <w:r>
        <w:tab/>
        <w:t>Projekty mogą obejmować również szkolenie i kształcenie obecnego oraz potencjalnego personelu opieki długoterminowej, członków rodziny, osób bliskich. Projekty mogą dotyczyć również wdrażania standardów dostępności.</w:t>
      </w:r>
      <w:r>
        <w:br/>
        <w:t>•</w:t>
      </w:r>
      <w:r>
        <w:tab/>
        <w:t>Powyższe przedsięwzięcia w zakresie usług zdrowotnych przyczynią się do realizacji celów wskazanych w dokumencie: Zdrowa przyszłość. Ramy strategiczne rozwoju systemu ochrony zdrowia na lata 2021-2027, z perspektywą do 2030 r., w szczególności w zakresie rozwoju profilaktyki, promocji postaw prozdrowotnych, a także poprawy jakości, przyjazności i efektywności systemu opieki zdrowotnej, w tym wsparcia i rozwoju opieki koordynowanej i DI.</w:t>
      </w:r>
      <w:r>
        <w:br/>
      </w:r>
      <w:r>
        <w:lastRenderedPageBreak/>
        <w:t>•</w:t>
      </w:r>
      <w:r>
        <w:tab/>
        <w:t>W formule Regionalnych Programów Zdrowotnych (RPZ) będą realizowane działania z obszaru profilaktyki chorób stanowiących istotny problem zdrowotny regionu.</w:t>
      </w:r>
      <w:r>
        <w:br/>
        <w:t>Preferencje punktowe mogą być stosowane w projektach (Typ I, II, III):</w:t>
      </w:r>
      <w:r>
        <w:br/>
        <w:t>1.  skierowanych na obszary strategicznej interwencji (OSI) wyznaczone w KSRR i wynikające z SR WM 2030+, tj. miast średnich tracących funkcje społeczno-gospodarcze oraz gmin zagrożonych trwałą marginalizacją,</w:t>
      </w:r>
      <w:r>
        <w:br/>
        <w:t>2. realizowanych w ramach MSIT lub wynikające z GPR.</w:t>
      </w:r>
    </w:p>
    <w:p w14:paraId="49ED47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ECDFA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F0842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AF967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7D0D56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3AF4C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77042FA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6A54A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3E169E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4D237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FA71A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8C323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12EB8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85EBF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75E6367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1BC47B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5BC96C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96181D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CC014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FF110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1E03EDD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7C851F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Partnerzy społeczni, Przedsiębiorstwa, Służby publiczne</w:t>
      </w:r>
    </w:p>
    <w:p w14:paraId="7AFDF43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B8E6F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deinstytucjonalizacja, mieszkania_treningowe, mieszkania_wspomagane, opieka_długoterminowa, placówki_wsparcia_dziennego, profilaktyka, usługi_społeczne, zdrowie</w:t>
      </w:r>
    </w:p>
    <w:p w14:paraId="22685C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8A2CB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385F4C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B17F4A6" w14:textId="50260A96"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44" w:history="1">
        <w:r w:rsidRPr="005B2474">
          <w:rPr>
            <w:rStyle w:val="Hipercze"/>
          </w:rPr>
          <w:t>https://funduszeuedlamazowsza.eu/uchwaly-km-fem/</w:t>
        </w:r>
      </w:hyperlink>
    </w:p>
    <w:p w14:paraId="21114D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FC900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4D23E3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74E4DC4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AE4152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6B0BF5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44D5E6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5D03FC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WLWK-PLKCO02 - Liczba osób objętych programem polityki zdrowotnej</w:t>
      </w:r>
    </w:p>
    <w:p w14:paraId="7CE92D5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187CC8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0628BB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639E91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55388A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51C35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563D6C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WLWK-PLDKCO01 - Liczba wdrożonych programów polityki zdrowotnej</w:t>
      </w:r>
    </w:p>
    <w:p w14:paraId="0D7A63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B4AA5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WLWK-PLKLCR05 - Liczba osób, które opuściły opiekę instytucjonalną dzięki wsparciu w programie</w:t>
      </w:r>
    </w:p>
    <w:p w14:paraId="69C24B7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5DD6E75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18766B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1217ED3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3AF544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PROG-FEMAKLCR01 - Liczba niestacjonarnych miejsc świadczenia usług utworzonych w społeczności lokalnej</w:t>
      </w:r>
    </w:p>
    <w:p w14:paraId="6E53DE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27A1966"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8" w:name="_Toc237347992"/>
      <w:r>
        <w:rPr>
          <w:rFonts w:ascii="Calibri" w:hAnsi="Calibri" w:cs="Calibri"/>
          <w:sz w:val="32"/>
        </w:rPr>
        <w:t>Działanie FEMA.08.06 Usługi społeczne na rzecz rodzin</w:t>
      </w:r>
      <w:bookmarkEnd w:id="48"/>
    </w:p>
    <w:p w14:paraId="412D29F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CAF75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724B91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806F56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1E0278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5FE78D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27 521 036,00</w:t>
      </w:r>
    </w:p>
    <w:p w14:paraId="511FAA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6EEF21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20 481 613,00</w:t>
      </w:r>
    </w:p>
    <w:p w14:paraId="57C947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FC20A2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320B58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85694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zapobieganie procesom ubóstwa i wykluczenia społecznego poprzez wzmacnianie rodzin, dzieci, wsparcie systemu pieczy zastępczej oraz interwencji kryzysowej</w:t>
      </w:r>
      <w:r>
        <w:br/>
        <w:t>W ramach działania realizowane będą mogły być następujące typy projektów:</w:t>
      </w:r>
      <w:r>
        <w:br/>
        <w:t>I. Rozwój usług społecznych na rzecz dzieci i młodzieży, w tym w ramach usług wsparcia systemu pieczy zastępczej.</w:t>
      </w:r>
      <w:r>
        <w:br/>
        <w:t xml:space="preserve">W ramach rozwoju usług społecznych na rzecz dzieci i młodzieży, w tym usług wsparcia systemu pieczy zastępczej planowane są do realizacji działania związane ze wsparciem rodziny oraz systemu pieczy zastępczej, które będą służyć zapobieganiu wykluczeniu społecznemu dzieci i młodzieży, począwszy od </w:t>
      </w:r>
      <w:r>
        <w:lastRenderedPageBreak/>
        <w:t>działań o charakterze profilaktycznym do działań aktywizujących dla usamodzielniającej się młodzieży.</w:t>
      </w:r>
      <w:r>
        <w:br/>
        <w:t>Planowane są m.in. działania:</w:t>
      </w:r>
      <w:r>
        <w:br/>
        <w:t>• mające na celu pogłębienie umiejętności wychowawczych rodziców, umiejętności społecznych u dzieci i wzmacniające więzi w rodzinie (m.in. warsztaty, szkolenia, kursy, wydarzenia kulturalne, rekreacyjne, także organizowane za pośrednictwem szkoły dotyczące m.in. rozwijania umiejętności wychowawczych u opiekunów oraz psychoedukacji dzieci).</w:t>
      </w:r>
      <w:r>
        <w:br/>
        <w:t>• mające na celu przywrócenie rodzinom przeżywającym trudności w wychowaniu dzieci zdolności do pełnienia funkcji opiekuńczo-wychowawczych (m.in. konsultacje i poradnictwo specjalistyczne, terapie i mediacje, pomocy prawnej oraz organizacja spotkań dla rodzin, w tym grup wsparcia). Działania te realizowane mogą być poprzez asystentów rodziny, rodziny wspierające, pomocowe oraz dzięki rozwojowi placówki wsparcia dziennego.</w:t>
      </w:r>
      <w:r>
        <w:br/>
        <w:t>• wspierające proces deinstytucjonalizacji systemu pieczy zastępczej, poprzez tworzenie rodzinnych form pieczy zastępczej, w tym podnoszenie świadomości społeczności lokalnych (potencjalnych rodzin) na temat możliwości pełnienia pieczy zastępczej oraz kształcenie kandydatów na rodziny zastępcze.</w:t>
      </w:r>
      <w:r>
        <w:br/>
        <w:t>• usprawniające proces deinstytucjonalizacji, poprzez przekwalifikowanie pracowników pieczy instytucjonalnej oraz dostosowanie i wykorzystanie infrastruktury likwidowanych form instytucjonalnych na rzecz wsparcia form zdeinstytucjonalizowanych.</w:t>
      </w:r>
      <w:r>
        <w:br/>
        <w:t>• wzmacniające tworzone i istniejące rodziny zastępcze czy adopcyjne, poprzez ich wsparcie specjalistyczne, wspierające rozwój umiejętności życiowych i prospołecznych członków rodzin, a wśród dorosłych dodatkowo umiejętności wychowawczych, co powinno prowadzić do harmonijnego rozwoju dzieci oraz ograniczenia ewentualnych zachowań problemowych skutkujących możliwością wykluczenia.</w:t>
      </w:r>
      <w:r>
        <w:br/>
        <w:t>• mające na celu rozwój form wsparcia usamodzielniającej się młodzieży opuszczającej pieczę zastępczą poprzez wzmocnienie specyficznych kompetencji opiekunów usamodzielniania (m.in. umiejętność udzielania wsparcia emocjonalnego, informacyjnego, elastycznego dostosowywania stylu pracy do sytuacji i potrzeb danego wychowanka) oraz aktywizację zawodową wychowanka, będąca podstawą niezależnej egzystencji i warunkująca osiąganie innych kryteriów samodzielności, jak mieszkanie czy założenie rodziny.</w:t>
      </w:r>
      <w:r>
        <w:br/>
        <w:t>Podejmowane w tym zakresie działania w uzasadnionych przypadkach mogą być uzupełnione wsparciem mieszkaniowym dla usamodzielnianych wychowanków.</w:t>
      </w:r>
      <w:r>
        <w:br/>
        <w:t>Przedsięwzięcia w ramach typu 1 projektu w działaniu 8.6 wpisują się w realizację Gwarancji dla Dzieci.</w:t>
      </w:r>
      <w:r>
        <w:br/>
        <w:t xml:space="preserve">Ogólne zasady realizacji projektów </w:t>
      </w:r>
      <w:r>
        <w:br/>
        <w:t>Warunki realizacji projektów:</w:t>
      </w:r>
      <w:r>
        <w:br/>
        <w:t>1. Wsparcie dla rodziny i pieczy zastępczej odbywa się zgodnie z ustawą z dnia 9 czerwca 2011 r. o wspieraniu rodziny i systemie pieczy zastępczej.</w:t>
      </w:r>
      <w:r>
        <w:br/>
        <w:t>2. Nie są finansowane świadczenia wypłacane na podstawie ustawy z dnia 9 czerwca 2011 r. o wspieraniu rodziny i systemie pieczy zastępczej. Mogą one stanowić wkład własny do projektu.</w:t>
      </w:r>
      <w:r>
        <w:br/>
        <w:t>3. Usługi wsparcia rodziny w postaci pomocy w opiece i wychowaniu dzieci w formie placówek wsparcia dziennego polegają na tworzeniu nowych miejsc opieki i wychowania w ramach nowo tworzonych placówek wsparcia dziennego lub na wsparciu istniejących placówek.</w:t>
      </w:r>
      <w:r>
        <w:br/>
        <w:t>4. Wsparcie istniejących placówek wsparcia dziennego jest możliwe wyłącznie pod warunkiem zwiększenia liczby miejsc w tych placówkach lub rozszerzenia oferty wsparcia.</w:t>
      </w:r>
      <w:r>
        <w:br/>
        <w:t xml:space="preserve">5. Nie są tworzone nowe miejsca ani wspierane istniejące miejsca opieki w placówkach świadczących </w:t>
      </w:r>
      <w:r>
        <w:lastRenderedPageBreak/>
        <w:t xml:space="preserve">opiekę instytucjonalną. </w:t>
      </w:r>
      <w:r>
        <w:br/>
        <w:t>6. Działania mające na celu wsparcie dzieci i młodzieży przebywających w całodobowych instytucjach opieki nie mogą wzmacniać potencjału instytucjonalnego tych placówek (np. zatrudnianie personelu, remonty, wyposażenie). Mogą dotyczyć wsparcia dzieci i młodzieży oraz kadr w zakresie zgodnym z ideą deinstytucjonalizacji.</w:t>
      </w:r>
      <w:r>
        <w:br/>
        <w:t>7. W razie konieczności umieszczenia w placówce opiekuńczo-wychowawczej typu rodzinnego rodzeństwa, za zgodą dyrektora tej placówki oraz po uzyskaniu zezwolenia wojewody, dopuszczalne jest umieszczenie w tym samym czasie większej liczby dzieci (maksymalnie 10).</w:t>
      </w:r>
      <w:r>
        <w:br/>
        <w:t>8. Beneficjenci programu regionalnego, realizujący projekty w ramach działania 8.6 mogą wnioskować do programu FERS o środki na jego umiędzynarodowienie, w tym na adaptację zagranicznych rozwiązań w Polsce lub równoległe tworzenie przez partnerów nowych rozwiązań. Współpraca, w tym wymiana wiedzy i doświadczeń oraz konsultacje z partnerami powinny dotyczyć zwiększenia efektywności działań służących integracji społecznej osób zagrożonych wykluczeniem społecznym, w tym osób najbardziej potrzebujących i dzieci.</w:t>
      </w:r>
      <w:r>
        <w:br/>
        <w:t>9. Przewiduje się zorganizowanie oddzielnego naboru na projekty wynikające z LSR.</w:t>
      </w:r>
      <w:r>
        <w:br/>
        <w:t>Preferowane mogą być projekty:</w:t>
      </w:r>
      <w:r>
        <w:br/>
        <w:t>1. skierowane do osób w najtrudniejszej sytuacji:</w:t>
      </w:r>
      <w:r>
        <w:br/>
        <w:t>• doświadczających wielokrotnego wykluczenia społecznego rozumianego jako wykluczenie z powodu więcej niż jednej z przesłanek kwalifikujących je do wsparcia w projekcie lub spełniających więcej niż jedną przesłankę określoną w art. 7 ustawy z dnia 12 marca 2004 r. o pomocy społecznej,</w:t>
      </w:r>
      <w:r>
        <w:br/>
        <w:t>• o znacznym lub umiarkowanym stopniu niepełnosprawności,</w:t>
      </w:r>
      <w:r>
        <w:br/>
        <w:t>• z niepełnosprawnością sprzężoną, osób z chorobami psychicznymi, osób z niepełnosprawnością intelektualną i osób z całościowymi zaburzeniami rozwojowymi (w rozumieniu zgodnym z Międzynarodową Statystyczną Klasyfikacją Chorób i Problemów Zdrowotnych ICD10,</w:t>
      </w:r>
      <w:r>
        <w:br/>
        <w:t>• korzystających z programu FE PŻ;</w:t>
      </w:r>
      <w:r>
        <w:br/>
        <w:t>2. realizowane w partnerstwie wielosektorowym,</w:t>
      </w:r>
      <w:r>
        <w:br/>
        <w:t>3. skierowane na obszary strategicznej interwencji (OSI) wyznaczone w KSRR i wynikające z SR WM 2030+, tj. miast średnich tracących funkcje społeczno-gospodarcze oraz gmin zagrożonych trwałą marginalizacją,</w:t>
      </w:r>
      <w:r>
        <w:br/>
        <w:t>4. realizowane w ramach MSIT lub wynikające z GPR,</w:t>
      </w:r>
      <w:r>
        <w:br/>
        <w:t>5. wynikające z LSR.</w:t>
      </w:r>
      <w:r>
        <w:br/>
      </w:r>
      <w:r>
        <w:br/>
        <w:t>II. Zwiększenie dostępności i skuteczności ochrony oraz wsparcia osób dotkniętych przemocą  domową.</w:t>
      </w:r>
      <w:r>
        <w:br/>
        <w:t>Celem działań w ramach typu projektu będzie przywrócenie równowagi psychicznej i umiejętności samodzielnego radzenia sobie rodzinom i osobom będącym w stanie kryzysu. Dzięki temu nastąpi zapobieganie przejściu w stan niewydolności psychospołecznej. Działania będą realizowane przez placówki udzielające wsparcia osobom doznającym przemocy domowej m.in. ośrodki interwencji kryzysowej czy domy dla matek z małoletnimi dziećmi i kobiet w ciąży poprzez utworzenie nowych placówek i/lub poszerzenie oferty placówek już istniejących.</w:t>
      </w:r>
      <w:r>
        <w:br/>
        <w:t>W związku z tym, że sytuacja kryzysowa wpływa na wszystkie sfery funkcjonowania wewnętrznego i zewnętrznego danej osoby i rodziny wymagana jest pomoc ze strony specjalistów różnych dziedzin.</w:t>
      </w:r>
      <w:r>
        <w:br/>
        <w:t>W związku z powyższym planowane są następujące działania:</w:t>
      </w:r>
      <w:r>
        <w:br/>
      </w:r>
      <w:r>
        <w:lastRenderedPageBreak/>
        <w:t>- Interwencja kryzysowa – szybkie wsparcie dla osób, które znalazły się z kryzysie realizowana całodobowo 24h/7;</w:t>
      </w:r>
      <w:r>
        <w:br/>
        <w:t>- Diagnoza stanu klienta i ocena stopnia zagrożenia jego równowagi psychicznej, zdrowia, życia;</w:t>
      </w:r>
      <w:r>
        <w:br/>
        <w:t>- Ustalenie planu pomocy i jego realizatorów, specjalistów;</w:t>
      </w:r>
      <w:r>
        <w:br/>
        <w:t>- Mediacje dla osób które znajdują się w konflikcie;</w:t>
      </w:r>
      <w:r>
        <w:br/>
        <w:t>- Coaching – wsparcie rozwoju;</w:t>
      </w:r>
      <w:r>
        <w:br/>
        <w:t>- Konsultacje i porady psychologiczne – wsparcie, psychoedukacja, profilaktyka;</w:t>
      </w:r>
      <w:r>
        <w:br/>
        <w:t>- Terapia rodzinna – wsparcie rodzin w przezwyciężaniu problemów np. wsparcie terapeuty ds. uzależnień;</w:t>
      </w:r>
      <w:r>
        <w:br/>
        <w:t>- Psychoterapia indywidualna - długotrwały proces terapeutyczny;</w:t>
      </w:r>
      <w:r>
        <w:br/>
        <w:t>- Konsultacje prawne – udzielanie informacji o obowiązujących przepisach oraz pomoc w czynnościach prawnych, w tym konstruowaniu pism urzędowych;</w:t>
      </w:r>
      <w:r>
        <w:br/>
        <w:t>- Grupy wsparcia, warsztaty umiejętności wychowawczych;</w:t>
      </w:r>
      <w:r>
        <w:br/>
        <w:t>- Świadczenia pracy socjalnej na rzecz poprawy funkcjonowania osób i rodzin w ich środowisku społecznym, prowadzona w oparciu o kontrakt socjalny lub projekt socjalny;</w:t>
      </w:r>
      <w:r>
        <w:br/>
        <w:t>- Usługi hostelowe jako miejsce bezpłatnego, czasowego schronienia w sytuacji zagrożenia zdrowia lub życia.</w:t>
      </w:r>
      <w:r>
        <w:br/>
        <w:t>Kluczowe warunki realizacji projektów:</w:t>
      </w:r>
      <w:r>
        <w:br/>
        <w:t xml:space="preserve">1. Wsparcie z ramach danego typu projektu możliwe jest na tworzenie nowych ośrodków interwencji kryzysowej oraz na wsparcie rozwoju istniejących ośrodków interwencji kryzysowej pod warunkiem rozszerzenia oferty usług świadczonych przez dany ośrodek lub zwiększenia liczby osób obejmowanych wsparciem w ramach danego ośrodka. </w:t>
      </w:r>
      <w:r>
        <w:br/>
        <w:t>2. Przewiduje się ogłoszenie odrębnego naboru dla projektów wynikających z LSR przygotowanych przez LGD.</w:t>
      </w:r>
      <w:r>
        <w:br/>
        <w:t>Preferowane do dofinansowania będą projekty:</w:t>
      </w:r>
      <w:r>
        <w:br/>
        <w:t>1. skierowane na obszary strategicznej interwencji (OSI) wyznaczone w KSRR i wynikające z SR WM 2030+, tj. miast średnich tracących funkcje społeczno-gospodarcze oraz gmin zagrożonych trwałą marginalizacją</w:t>
      </w:r>
      <w:r>
        <w:br/>
        <w:t>2. realizowanych w ramach MSIT lub wynikające z GPR,</w:t>
      </w:r>
      <w:r>
        <w:br/>
        <w:t>3. wynikających z LSR.</w:t>
      </w:r>
      <w:r>
        <w:br/>
        <w:t>Projekty realizowane będą zgodnie z:</w:t>
      </w:r>
      <w:r>
        <w:br/>
        <w:t>a) Rozporządzeniem ogólnym i Rozporządzeniem EFS+.</w:t>
      </w:r>
      <w:r>
        <w:br/>
        <w:t>b) Ustawą:</w:t>
      </w:r>
      <w:r>
        <w:br/>
        <w:t>­- z 28.04.2022 r. o zasadach realizacji zadań finansowanych ze środków europejskich w perspektywie finansowej 2021–2027 z późn.zm.</w:t>
      </w:r>
      <w:r>
        <w:br/>
        <w:t>­- z 09.06.2011 r. o wspieraniu rodziny i systemie pieczy zastępczej z późn.zm.</w:t>
      </w:r>
      <w:r>
        <w:br/>
        <w:t>­- z 12.03.2004 r. o pomocy społecznej z późn.zm.</w:t>
      </w:r>
      <w:r>
        <w:br/>
        <w:t>c)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r>
      <w:r>
        <w:lastRenderedPageBreak/>
        <w:t>­- wyboru projektów,</w:t>
      </w:r>
      <w:r>
        <w:br/>
        <w:t>­- informacji i promocji Funduszy Europejskich.</w:t>
      </w:r>
      <w:r>
        <w:br/>
        <w:t>d) innymi aktami:</w:t>
      </w:r>
      <w:r>
        <w:br/>
        <w:t>- Regionalnym Planem Rozwoju Usług Społecznych i Deinstytucjonalizacji  dla WM na lata 2023-2025 opracowanym przez MCPS.</w:t>
      </w:r>
    </w:p>
    <w:p w14:paraId="2C7EA7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1DFA7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C2EE6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E5108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5C1A6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120F6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8AAD6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CFA57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1AF333F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F1E01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D2578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17FA0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84D6A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CF6F39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38ECA8E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A194C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678E86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1BFE5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19E043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B9388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5D7EF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80387B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wspierające biznes, Organizacje społeczne i związki wyznaniowe, Partnerstwa, Partnerzy społeczni, Przedsiębiorstwa, Służby publiczne</w:t>
      </w:r>
    </w:p>
    <w:p w14:paraId="3A79E9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2043B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mieszkania_treningowe, mieszkania_wspierane, mieszkania_wspomagane, osoby_z_niepełnosprawnościami, piecza_zastępcza, szkolenia, warsztaty, wsparcie_dla_młodych, zatrudnienie_wspomagane</w:t>
      </w:r>
    </w:p>
    <w:p w14:paraId="276C57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263B3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45EE69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6616A8E" w14:textId="432401FF"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45" w:history="1">
        <w:r w:rsidRPr="005B2474">
          <w:rPr>
            <w:rStyle w:val="Hipercze"/>
          </w:rPr>
          <w:t>https://funduszeuedlamazowsza.eu/uchwaly-km-fem/</w:t>
        </w:r>
      </w:hyperlink>
    </w:p>
    <w:p w14:paraId="4241BD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F1B30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129EF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40E7DC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19F697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241CC1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7E31E0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5A851D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3FD9AEE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1D17379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1EBCA91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46AFE6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652F20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5C0383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DCC22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B46EC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1AF010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6B924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WLWK-PLKLCR01 - Liczba dzieci i młodzieży, które opuściły opiekę instytucjonalną dzięki wsparciu w programie</w:t>
      </w:r>
    </w:p>
    <w:p w14:paraId="07B3A2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WLWK-PLKLCR05 - Liczba osób, które opuściły opiekę instytucjonalną dzięki wsparciu w programie</w:t>
      </w:r>
    </w:p>
    <w:p w14:paraId="116FD4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0A3C59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48392B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543703B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5D95A48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50D663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BAF55E2"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9" w:name="_Toc237347993"/>
      <w:r>
        <w:rPr>
          <w:rFonts w:ascii="Calibri" w:hAnsi="Calibri" w:cs="Calibri"/>
          <w:sz w:val="32"/>
        </w:rPr>
        <w:t>Działanie FEMA.08.07 Integracja społeczna osób w kryzysie bezdomności i zagrożonych bezdomnością</w:t>
      </w:r>
      <w:bookmarkEnd w:id="49"/>
    </w:p>
    <w:p w14:paraId="207E8A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187E0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44C412A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10BC8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C1266C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58FD0B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1 633 301,00</w:t>
      </w:r>
    </w:p>
    <w:p w14:paraId="7EB0E95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3F506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860 562,00</w:t>
      </w:r>
    </w:p>
    <w:p w14:paraId="4A0075E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EB7A0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3597B4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7EF3DE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ograniczenie bezdomności oraz szkód z tym związanych.</w:t>
      </w:r>
      <w:r>
        <w:br/>
        <w:t>W ramach typu projektu realizowane będą mogły być następujące działania:</w:t>
      </w:r>
      <w:r>
        <w:br/>
        <w:t xml:space="preserve">• zapobiegające bezdomności ukierunkowane na wsparcie osób zagrożonych bezdomnością, w tym m.in.: intensywne programy reintegracji społecznej i zawodowej skierowane do osób wobec których zasądzono eksmisję, oczekujących na eksmisję, eksmitowanych i przebywających w lokalach socjalnych i </w:t>
      </w:r>
      <w:r>
        <w:lastRenderedPageBreak/>
        <w:t>pomieszczeniach tymczasowych, uruchomienie programów integracyjnych „ostatniej szansy” dla osób, wobec których zasądzono już eksmisję.</w:t>
      </w:r>
      <w:r>
        <w:br/>
        <w:t>Działania kierowane do grup szczególnie narażonych, m.in. do osób opuszczających zakłady penitencjarne, osób wobec których orzeczono lub możliwe jest orzeczenie eksmisji.</w:t>
      </w:r>
      <w:r>
        <w:br/>
        <w:t>• w obszarze wsparcia w mieszkalnictwie społecznym – w tym w najmie społecznym jako formie przeciwdziałania bezdomności, w tym popularyzacja tego typu wsparcia.</w:t>
      </w:r>
      <w:r>
        <w:br/>
        <w:t>• Umożliwienie zamieszkania w dostępnym cenowo mieszkaniu i skorzystania ze wsparcia może skutecznie zapobiegać popadaniu w zadłużenie, eksmisji, a w konsekwencji potencjalnej bezdomności.</w:t>
      </w:r>
      <w:r>
        <w:br/>
        <w:t>• propagujące rozwiązania mieszkaniowe dla osób wychodzących z kryzysu bezdomności wymagających wsparcia w utrzymaniu mieszkania, np. polegające na sieciowaniu różnych instytucji udzielających pomocy osobom i rodzinom w sytuacjach kryzysowych z systemem zarządzania mieszkalnictwem społecznym,</w:t>
      </w:r>
      <w:r>
        <w:br/>
        <w:t>• mające na celu rozwój usług mieszkalnictwa powiązanych ze wsparciem dla osób bezdomnych, m.in. osób o szczególnych potrzebach, zwłaszcza spowodowanych stanem zdrowia lub wiekiem, w tym zapewnienie asystenta osoby bezdomnej,</w:t>
      </w:r>
      <w:r>
        <w:br/>
        <w:t>• mające na celu rozwój i podnoszenie jakości usług świadczonych osobom bezdomnym poprzez m.in.: rozwój usług „outreach”, w tym streetworkingu skierowanego do grupy osób bezdomnych przebywających w przestrzeni publicznej i miejscach niemieszkalnych,</w:t>
      </w:r>
      <w:r>
        <w:br/>
        <w:t>• realizowane zgodnie z modelem wychodzenia z bezdomności oparte na założeniach programu Najpierw Mieszkanie. Rozwiązanie kierowane będzie do najbardziej wykluczonej i zagrożonej grupy osób w kryzysie bezdomności, generujących najwyższe koszty ekonomiczne dla systemu polityki społecznej. Zapewnienie mieszkania powinno być powiązane z dostępem do specjalistycznego wsparcia dostosowanego do specyficznych potrzeb klientów (od pomocy w planowaniu domowego budżetu po terapię uzależnień).</w:t>
      </w:r>
      <w:r>
        <w:br/>
        <w:t>Ogólne zasady realizacji projektów</w:t>
      </w:r>
      <w:r>
        <w:br/>
        <w:t>Warunki realizacji projektów:</w:t>
      </w:r>
      <w:r>
        <w:br/>
        <w:t>1. Projekty realizowane będą zgodnie z:</w:t>
      </w:r>
      <w:r>
        <w:br/>
        <w:t>a) Rozporządzeniem ogólnym i Rozporządzeniem EFS+.</w:t>
      </w:r>
      <w:r>
        <w:br/>
        <w:t>b) Ustawą:</w:t>
      </w:r>
      <w:r>
        <w:br/>
        <w:t>­- z 28.04.2022 r. o zasadach realizacji zadań finansowanych ze środków europejskich w perspektywie finansowej 2021–2027 z późn.zm.</w:t>
      </w:r>
      <w:r>
        <w:br/>
        <w:t>- z 09.06.2011 r. o wspieraniu rodziny i systemie pieczy zastępczej z późn.zm.</w:t>
      </w:r>
      <w:r>
        <w:br/>
        <w:t>­- z 12.03.2004 r. o pomocy społecznej  z późn.zm.</w:t>
      </w:r>
      <w:r>
        <w:br/>
        <w:t>c)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t>d) innymi aktami:</w:t>
      </w:r>
      <w:r>
        <w:br/>
        <w:t xml:space="preserve">- Regionalnym Planem Rozwoju Usług Społecznych i Deinstytucjonalizacji  dla WM na lata 2026-2030 </w:t>
      </w:r>
      <w:r>
        <w:lastRenderedPageBreak/>
        <w:t>opracowanym przez MCPS.</w:t>
      </w:r>
      <w:r>
        <w:br/>
        <w:t>2. Projekty w ramach tego działania powinny realizować wsparcie w odpowiedzi na zdiagnozowane potrzeby danego uczestnika, które zostanie zaplanowane w indywidualnym programie wychodzenia z bezdomności, polegającym na wspieraniu osoby bezdomnej w rozwiązywaniu jej problemów życiowych, w szczególności rodzinnych i mieszkaniowych oraz pomocy w uzyskaniu zatrudnienia.</w:t>
      </w:r>
      <w:r>
        <w:br/>
        <w:t xml:space="preserve">3. Beneficjenci programu regionalnego, realizujący projekty w ramach działania 8.7 mogą wnioskować do programu FERS o środki na jego umiędzynarodowienie, w tym na adaptację zagranicznych rozwiązań w Polsce lub równoległe tworzenie przez partnerów nowych rozwiązań. Współpraca, w tym wymiana wiedzy i doświadczeń oraz konsultacje z partnerami powinny dotyczyć zwiększenia efektywności działań służących integracji społecznej osób zagrożonych wykluczeniem społecznym, w tym osób najbardziej potrzebujących i dzieci.  </w:t>
      </w:r>
      <w:r>
        <w:br/>
        <w:t>4. Przewiduje się zorganizowanie oddzielnego naboru na projekty wynikające z LSR.</w:t>
      </w:r>
      <w:r>
        <w:br/>
        <w:t>Preferowane mogą być projekty:</w:t>
      </w:r>
      <w:r>
        <w:br/>
        <w:t>1. skierowane do osób w najtrudniejszej sytuacji:</w:t>
      </w:r>
      <w:r>
        <w:br/>
        <w:t>• doświadczających wielokrotnego wykluczenia społecznego rozumianego jako wykluczenie z powodu więcej niż jednej z przesłanek kwalifikujących je do wsparcia w projekcie lub spełniających więcej niż jedną przesłankę określoną w art. 7 ustawy z dnia 12 marca 2004 r. o pomocy społecznej,</w:t>
      </w:r>
      <w:r>
        <w:br/>
        <w:t>• o znacznym lub umiarkowanym stopniu niepełnosprawności;</w:t>
      </w:r>
      <w:r>
        <w:br/>
        <w:t>• z niepełnosprawnością sprzężoną, osób z chorobami psychicznymi, osób z niepełnosprawnością intelektualną i osób z całościowymi zaburzeniami rozwojowymi (w rozumieniu zgodnym z Międzynarodową Statystyczną Klasyfikacją Chorób i Problemów Zdrowotnych ICD10),</w:t>
      </w:r>
      <w:r>
        <w:br/>
        <w:t>• korzystających z programu FE PŻ,</w:t>
      </w:r>
      <w:r>
        <w:br/>
        <w:t>• opuszczających placówki opieki instytucjonalnej,</w:t>
      </w:r>
      <w:r>
        <w:br/>
        <w:t>• wykluczonych komunikacyjnie,</w:t>
      </w:r>
      <w:r>
        <w:br/>
        <w:t>• osób, które opuściły jednostki penitencjarne w terminie ostatnich 12 miesięcy (liczonych od dnia zwolnienia/opuszczenia jednostki penitencjarnej do dnia przystąpienia do projektu).</w:t>
      </w:r>
      <w:r>
        <w:br/>
        <w:t>2. realizowane w partnerstwie wielosektorowym,</w:t>
      </w:r>
      <w:r>
        <w:br/>
        <w:t>3. skierowane na obszary strategicznej interwencji (OSI) wyznaczone w KSRR i wynikające z SR WM 2030+, tj. miast średnich tracących funkcje społeczno-gospodarcze oraz gmin zagrożonych trwałą marginalizacją,</w:t>
      </w:r>
      <w:r>
        <w:br/>
        <w:t>4. realizowane w ramach MSIT lub wynikające z GPR.</w:t>
      </w:r>
      <w:r>
        <w:br/>
        <w:t>5. wynikające z LSR.</w:t>
      </w:r>
    </w:p>
    <w:p w14:paraId="5025E8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95E41C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00E1B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84A7D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CB968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FF75E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w:t>
      </w:r>
    </w:p>
    <w:p w14:paraId="2FECDF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D5440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142EEE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79253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73A579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E2C32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08DDE0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D8CCD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6DA154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121D1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naborów</w:t>
      </w:r>
    </w:p>
    <w:p w14:paraId="6976F1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30B94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3E57BAE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6AA58F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02380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D03A6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Służby publiczne</w:t>
      </w:r>
    </w:p>
    <w:p w14:paraId="501C22B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26C911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mieszkania_treningowe, mieszkania_wspierane, osoby_z_niepełnosprawnościami, szkolenia, warsztaty, zatrudnienie_wspomagane</w:t>
      </w:r>
    </w:p>
    <w:p w14:paraId="7A07B5B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4D2FF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7D9ED43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13F277A" w14:textId="40967335"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46" w:history="1">
        <w:r w:rsidRPr="005B2474">
          <w:rPr>
            <w:rStyle w:val="Hipercze"/>
          </w:rPr>
          <w:t>https://funduszeuedlamazowsza.eu/uchwaly-km-fem/</w:t>
        </w:r>
      </w:hyperlink>
    </w:p>
    <w:p w14:paraId="7EDA5E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A7551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21B305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6BE374F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WLWK-EECO19 - Liczba objętych wsparciem mikro-, małych i średnich przedsiębiorstw (w tym spółdzielni i przedsiębiorstw społecznych)</w:t>
      </w:r>
    </w:p>
    <w:p w14:paraId="100C2B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3DDBCE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48894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76AE82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1FCA8C0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386A0B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573EB7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1C0C99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2A57E7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96A54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4F47226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76FF2A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36077D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5861DA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CFB54A0"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0" w:name="_Toc237347994"/>
      <w:r>
        <w:rPr>
          <w:rFonts w:ascii="Calibri" w:hAnsi="Calibri" w:cs="Calibri"/>
          <w:sz w:val="32"/>
        </w:rPr>
        <w:t>Działanie FEMA.08.08 Integracja społeczna Romów</w:t>
      </w:r>
      <w:bookmarkEnd w:id="50"/>
    </w:p>
    <w:p w14:paraId="10EA50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80CBE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6BE6206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675B5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1CD1536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578D4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6 526 470,00</w:t>
      </w:r>
    </w:p>
    <w:p w14:paraId="277972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9300E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4 725 000,00</w:t>
      </w:r>
    </w:p>
    <w:p w14:paraId="439A57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Zakres interwencji</w:t>
      </w:r>
    </w:p>
    <w:p w14:paraId="130DA31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0D35BC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1955D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wspieranie integracji społeczno-gospodarczej społeczności marginalizowanych.</w:t>
      </w:r>
      <w:r>
        <w:br/>
        <w:t>W ramach działania realizowane będzie głównie wsparcie mające na celu integrację i przeciwdziałanie marginalizacji społecznej obywateli polskich należących do mniejszości narodowych i etnicznych, w szczególności do społeczności romskiej.</w:t>
      </w:r>
      <w:r>
        <w:br/>
        <w:t xml:space="preserve">Działania w projekcie obejmować będą m.in.: </w:t>
      </w:r>
      <w:r>
        <w:br/>
        <w:t>1. Proces edukacji, w tym np.:</w:t>
      </w:r>
      <w:r>
        <w:br/>
        <w:t>• długofalowe wsparcie dzieci, zwiększenie frekwencji dzieci w wieku szkolnym w szkołach podstawowych oparte na diagnozie lokalnej sytuacji i projektowaniu ścieżek wsparcia edukacyjnego,</w:t>
      </w:r>
      <w:r>
        <w:br/>
        <w:t>• wsparcie edukacji dzieci mniejszości na poziomie ponadpodstawowym poprzez działania wpierające w wyborze szkoły ponadpodstawowej i zawodu, żeby pokazywać perspektywy zdobycia dobrej pracy związanej z poziomem edukacji przy jednoczesnym pozostawaniu w ramach społeczności romskiej (pokazywanie, że edukacja nie zagraża tożsamości romskiej),</w:t>
      </w:r>
      <w:r>
        <w:br/>
        <w:t>• wsparcie w edukacji przedszkolnej poprzez uświadamianie Romom roli wczesnego przygotowania ich dzieci do uczestnictwa w systemie edukacji,</w:t>
      </w:r>
      <w:r>
        <w:br/>
        <w:t>• organizacja świetlic środowiskowych i świetlic integracyjnych, jako miejsca, które wspierają społeczność romską w wielu obszarach –  edukacji dzieci, integracji z nie-Romami, utrzymywania tradycji, wsparcia w codziennych sprawach np. urzędowych,</w:t>
      </w:r>
      <w:r>
        <w:br/>
        <w:t>• zapewnienie dostępu do asystentów romskich, których zadaniem byłoby budowanie relacji z kadrą szkół ponadpodstawowych, doradztwo wyboru ścieżki zawodowej i wsparcie uczniów w jej realizacji, a także kształcenia ustawicznego w sytuacji niepowodzenia edukacyjnego,</w:t>
      </w:r>
      <w:r>
        <w:br/>
        <w:t>• wsparcie edukacji dorosłych w kontekście wspierania rozwoju ich umiejętności podstawowych połączona z podnoszeniem umiejętności zawodowych, w tym niezbędnych z punktu widzenia regionalnej inteligentnej specjalizacji, zgodnie z odpowiednim dokumentem kierunkowym dla RIS 2030,</w:t>
      </w:r>
      <w:r>
        <w:br/>
        <w:t xml:space="preserve">• promowanie edukacji antydyskryminacyjnej jako elementu systemu edukacji w polskich szkołach. </w:t>
      </w:r>
      <w:r>
        <w:br/>
        <w:t>2. Aktywizację zawodową, w tym np.:</w:t>
      </w:r>
      <w:r>
        <w:br/>
        <w:t xml:space="preserve">• doradztwo i pośrednictwo zawodowe, </w:t>
      </w:r>
      <w:r>
        <w:br/>
        <w:t>• ścieżkę przedsiębiorczości, w ramach której stosowano by doradztwo i szkolenia (z zakresu tworzenia biznesplanu, zakładania i prowadzenia działalności gospodarczej, pomoc w ubieganiu się o finansowanie (np. w złożeniu wniosku o dotację do PUP czy wniosku o mikropożyczkę),</w:t>
      </w:r>
      <w:r>
        <w:br/>
        <w:t>• podnoszenie kompetencji w zakresie posługiwania się językiem polskim, podnoszenie kompetencji matematycznych i przedsiębiorczych oraz kompetencji niezbędnych z punktu widzenia regionalnej inteligentnej specjalizacji, zgodnie z odpowiednim dokumentem kierunkowym dla RIS 2030,</w:t>
      </w:r>
      <w:r>
        <w:br/>
        <w:t>• działania eliminujące stereotypowe przekonania pracodawców na temat Romów, wzmacniające pozycję romskich kobiet,</w:t>
      </w:r>
      <w:r>
        <w:br/>
        <w:t>3. Integrację i przeciwdziałanie marginalizacji obejmujące np.:</w:t>
      </w:r>
      <w:r>
        <w:br/>
      </w:r>
      <w:r>
        <w:lastRenderedPageBreak/>
        <w:t xml:space="preserve">• wspólne spotkania, szkolenia dla przedstawicieli JST i liderów romskich, które będą wspierały integrację i przełamywanie wzajemnych stereotypów. </w:t>
      </w:r>
      <w:r>
        <w:br/>
        <w:t xml:space="preserve">• wsparcie działań związanych z kultywowaniem romskiej kultury i tradycji. </w:t>
      </w:r>
      <w:r>
        <w:br/>
        <w:t>• promowanie ekonomii społecznej jako sektora pracy dla Romów. Budowanie wśród Romów kompetencji potrzebnych do prowadzenia przedsiębiorstwa społecznego.</w:t>
      </w:r>
      <w:r>
        <w:br/>
        <w:t>• działania o charakterze edukacji prozdrowotnej, która jest i tańsza i może swoim zasięgiem obejmować większe grupy odbiorców. Edukacja ta będzie miała  integracyjny charakter, przez co przybliży przedstawicieli społeczności romskiej do współczesnych standardów myślenia o zdrowiu, dbałości o nie i zapobieganiu zamiast leczenia.</w:t>
      </w:r>
      <w:r>
        <w:br/>
        <w:t>• działania skierowane na organizacji i upowszechnianiu partnerskiej współpracy np. organizacji romskich i podmiotami działającymi w różnych obszarach lokalnej polityki społecznej.</w:t>
      </w:r>
      <w:r>
        <w:br/>
        <w:t>Ogólne zasady realizacji projektów</w:t>
      </w:r>
      <w:r>
        <w:br/>
        <w:t>Warunki realizacji projektów:</w:t>
      </w:r>
      <w:r>
        <w:br/>
        <w:t>1. Projekty realizowane będą zgodnie z:</w:t>
      </w:r>
      <w:r>
        <w:br/>
        <w:t>a) Rozporządzeniem ogólnym i Rozporządzeniem EFS+.</w:t>
      </w:r>
      <w:r>
        <w:br/>
        <w:t>b) Ustawą:</w:t>
      </w:r>
      <w:r>
        <w:br/>
        <w:t>­- z 28.04.2022 r. o zasadach realizacji zadań finansowanych ze środków europejskich w perspektywie finansowej 2021–2027 z późn.zm.</w:t>
      </w:r>
      <w:r>
        <w:br/>
        <w:t>­- z 12.03.2004 r. o pomocy społecznej z późn.zm.</w:t>
      </w:r>
      <w:r>
        <w:br/>
        <w:t>c)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t>2. Ze środków EFS nie są finansowane bierne formy pomocy w postaci zasiłków. Świadczenia te mogą być uznane za wkład własny do projektu.</w:t>
      </w:r>
      <w:r>
        <w:br/>
        <w:t>3. Wsparcie na rzecz społeczności marginalizowanych, takich jak Romowie, powinno być programowane i wdrażane we współpracy z lokalnymi interesariuszami, w tym społecznością romską.</w:t>
      </w:r>
      <w:r>
        <w:br/>
        <w:t>4. Wsparcie w projektach na rzecz społeczności marginalizowanych, takich jak Romowie, nie powinno się ograniczać do społeczności romskiej, lecz w miarę potrzeb i możliwości obejmować też nieromskie otoczenie społeczności marginalizowanej.</w:t>
      </w:r>
    </w:p>
    <w:p w14:paraId="3A2DC0C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848F2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189F8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4FDCF2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8001F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27B3E5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3B68025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02D8CE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E8466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85AF1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23DDED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3E7F5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4CAE4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6B916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75A58C6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B093A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naborów</w:t>
      </w:r>
    </w:p>
    <w:p w14:paraId="5C12E8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C6B51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1C1217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D1F3B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245A8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57024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2A29F79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70C63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aktywizacja_społeczna, aktywizacja_zawodowa, doradztwo_zawodowe, edukacja, integracja_społeczna, kształcenie_dorosłych, niedyskryminacja, szkolenia, warsztaty, zatrudnienie_wspomagane</w:t>
      </w:r>
    </w:p>
    <w:p w14:paraId="2142B0F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68BC960" w14:textId="64E4BEF7"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47" w:history="1">
        <w:r w:rsidRPr="005B2474">
          <w:rPr>
            <w:rStyle w:val="Hipercze"/>
          </w:rPr>
          <w:t>https://funduszeuedlamazowsza.eu/uchwaly-km-fem/</w:t>
        </w:r>
      </w:hyperlink>
    </w:p>
    <w:p w14:paraId="0BB932F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AE494A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0E26C41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03DC4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5C9DDA6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WLWK-EECO18 - Liczba objętych wsparciem podmiotów administracji publicznej lub służb publicznych na szczeblu krajowym, regionalnym lub lokalnym</w:t>
      </w:r>
    </w:p>
    <w:p w14:paraId="2ED0B2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176A53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6501DF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13F1155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22CCE0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28C5FC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4E75D2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1912FA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81DB8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772EB5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5602D4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45A85C8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66F3A420"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51" w:name="_Toc237347995"/>
      <w:r>
        <w:rPr>
          <w:rFonts w:ascii="Calibri" w:hAnsi="Calibri" w:cs="Calibri"/>
          <w:i w:val="0"/>
          <w:sz w:val="32"/>
        </w:rPr>
        <w:t>Priorytet FEMA.09 Mazowsze bliższe obywatelom dzięki Funduszom Europejskim</w:t>
      </w:r>
      <w:bookmarkEnd w:id="51"/>
    </w:p>
    <w:p w14:paraId="2BEC59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252265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3396142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1F9088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6D11F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1FB4D6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CP5 - Europa bliższa obywatelom dzięki wspieraniu zrównoważonego i zintegrowanego rozwoju wszystkich rodzajów terytoriów oraz inicjatyw lokalnych</w:t>
      </w:r>
    </w:p>
    <w:p w14:paraId="779D16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6063AA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6A991F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F4ADC2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219 448 236,00</w:t>
      </w:r>
    </w:p>
    <w:p w14:paraId="45EC5E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lastRenderedPageBreak/>
        <w:t>Wysokość alokacji UE (EUR)</w:t>
      </w:r>
    </w:p>
    <w:p w14:paraId="17DFB2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163 431 000,00</w:t>
      </w:r>
    </w:p>
    <w:p w14:paraId="7BDCD7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625054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30,08</w:t>
      </w:r>
    </w:p>
    <w:p w14:paraId="3EC5A75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3FB242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69,92</w:t>
      </w:r>
    </w:p>
    <w:p w14:paraId="34ADE6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E6985A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138EB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F9F1376"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2" w:name="_Toc237347996"/>
      <w:r>
        <w:rPr>
          <w:rFonts w:ascii="Calibri" w:hAnsi="Calibri" w:cs="Calibri"/>
          <w:sz w:val="32"/>
        </w:rPr>
        <w:t>Działanie FEMA.09.01 Rewitalizacja miast</w:t>
      </w:r>
      <w:bookmarkEnd w:id="52"/>
    </w:p>
    <w:p w14:paraId="14BA94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4E850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w:t>
      </w:r>
    </w:p>
    <w:p w14:paraId="6F57C4E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52AB35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22F7C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2BEAD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134 282 941,00</w:t>
      </w:r>
    </w:p>
    <w:p w14:paraId="380FB99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E508A6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98 999 000,00</w:t>
      </w:r>
    </w:p>
    <w:p w14:paraId="02DAB7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BCB50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127 - Pozostała infrastruktura społeczna przyczyniająca się do włączenia społecznego, 166 - Ochrona, rozwój i promowanie dziedzictwa kulturowego i usług w dziedzinie kultury, 168 - Fizyczna odnowa i bezpieczeństwo przestrzeni publicznych</w:t>
      </w:r>
    </w:p>
    <w:p w14:paraId="61DB39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24B2A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Ochrona, rozwój i promowanie dziedzictwa kulturowego,</w:t>
      </w:r>
      <w:r>
        <w:br/>
        <w:t>2.</w:t>
      </w:r>
      <w:r>
        <w:tab/>
        <w:t>Rewitalizacja obszarów zdegradowanych</w:t>
      </w:r>
      <w:r>
        <w:br/>
        <w:t xml:space="preserve">Projekt musi być realizowany na obszarach miejskich. </w:t>
      </w:r>
      <w:r>
        <w:br/>
        <w:t xml:space="preserve">Za obszary miejskie należy przyjąć gminy miejskie i gminy miejsko-wiejskie z miastami powyżej 5 tys. </w:t>
      </w:r>
      <w:r>
        <w:lastRenderedPageBreak/>
        <w:t>mieszkańców.</w:t>
      </w:r>
      <w:r>
        <w:br/>
        <w:t>W typie projektu Ochrona, rozwój i promowanie dziedzictwa kulturowego za priorytetowe uznaje się wspieranie mających istotne znaczenie dla lokalnej społeczności obiektów zabytkowych, które funkcjonując w odnowionej formie będą stanowiły ważny element aktywizacji środowiska, zmiany społecznej lub ożywienia miejscowej gospodarki. Wsparciem objęte będą:</w:t>
      </w:r>
      <w:r>
        <w:br/>
        <w:t>•</w:t>
      </w:r>
      <w:r>
        <w:tab/>
        <w:t>konserwacja, renowacja, rewaloryzacja, modernizacja, adaptacja historycznych obiektów i zespołów zabytkowych wraz z ich otoczeniem, umożliwiająca zachowanie dotychczasowych funkcji, a także służąca nadaniu nowych funkcji użytkowych (z przeznaczeniem w szczególności na cele kulturalne i edukacyjne), w tym również w połączeniu z działalnością komercyjną;</w:t>
      </w:r>
      <w:r>
        <w:br/>
        <w:t>•</w:t>
      </w:r>
      <w:r>
        <w:tab/>
        <w:t xml:space="preserve">ochrona i zachowanie zabytkowych ogrodów i parków; </w:t>
      </w:r>
      <w:r>
        <w:br/>
        <w:t>•</w:t>
      </w:r>
      <w:r>
        <w:tab/>
        <w:t xml:space="preserve">zabezpieczenie zabytków przed zniszczeniem lub kradzieżą; </w:t>
      </w:r>
      <w:r>
        <w:br/>
        <w:t>•</w:t>
      </w:r>
      <w:r>
        <w:tab/>
        <w:t>usuwanie barier architektonicznych dla osób z niepełnosprawnościami.</w:t>
      </w:r>
      <w:r>
        <w:br/>
        <w:t>Kluczowym efektem działań powinno być stworzenie trwałych podstaw dla harmonijnego funkcjonowania obiektów zabytkowych w przestrzeni publicznej sprzyjające utrzymywaniu spójności lokalnej społeczności i integrujące mieszkańców.</w:t>
      </w:r>
      <w:r>
        <w:br/>
        <w:t>Wsparty obiekt musi być objęty prawną formą ochrony zabytków lub musi być wpisany do wojewódzkiej lub gminnej ewidencji zabytków.</w:t>
      </w:r>
      <w:r>
        <w:br/>
        <w:t>W typie projektu: Rewitalizacja obszarów zdegradowanych za priorytetowe uznaje się kompleksowe projekty na terenach miast, pozwalające na wyprowadzanie ze stanu kryzysowego obszarów zdegradowanych poprzez działania całościowe. Wsparciem objęte będą:</w:t>
      </w:r>
      <w:r>
        <w:br/>
        <w:t>•</w:t>
      </w:r>
      <w:r>
        <w:tab/>
        <w:t>renowacja, rewaloryzacja, modernizacja i adaptacja lokalnej infrastruktury służącej realizacji celów społecznych (w tym mieszkaniowych), gospodarczych, kulturalnych i edukacyjnych, w szczególności powiązanej z działaniami na rzecz rozwoju usług społecznych oraz aktywizacji społecznej i zawodowej (szczególnie z uwzględnieniem zastosowania rozwiązań energooszczędnych), w tym:</w:t>
      </w:r>
      <w:r>
        <w:br/>
        <w:t>-</w:t>
      </w:r>
      <w:r>
        <w:tab/>
        <w:t>remont elewacji, fasad i dachów budynków oraz pomieszczeń i okien;</w:t>
      </w:r>
      <w:r>
        <w:br/>
        <w:t>-</w:t>
      </w:r>
      <w:r>
        <w:tab/>
        <w:t>remont, modernizacja instalacji: np. grzewczych, elektrycznych, gazowych i wodno-kanalizacyjnych w budynkach (jeśli nie przekraczają 40% wartości kosztów kwalifikowalnych i są częścią większego projektu);</w:t>
      </w:r>
      <w:r>
        <w:br/>
        <w:t>-</w:t>
      </w:r>
      <w:r>
        <w:tab/>
        <w:t>zagospodarowanie przyległego terenu bezpośrednio i funkcjonalnie związanego z obiektem np. budowa, remont, przebudowa małej architektury, ogrodzeń (tylko w przypadku, kiedy są częścią większego projektu rewitalizacyjnego);</w:t>
      </w:r>
      <w:r>
        <w:br/>
        <w:t>-</w:t>
      </w:r>
      <w:r>
        <w:tab/>
        <w:t>wyburzanie budynków i uporządkowanie przestrzeni publicznej (tylko w przypadku, kiedy jest częścią większego projektu rewitalizacyjnego i nie przekracza 40% wartości jego kosztów kwalifikowalnych);</w:t>
      </w:r>
      <w:r>
        <w:br/>
        <w:t>-</w:t>
      </w:r>
      <w:r>
        <w:tab/>
        <w:t>w zakresie polityki bezpieczeństwa (np. monitoring, oświetlenie) oraz reagowania na różnego rodzaju zagrożenia w przestrzeni publicznej (tylko w przypadku, kiedy jest częścią większego projektu rewitalizacyjnego);</w:t>
      </w:r>
      <w:r>
        <w:br/>
        <w:t>•</w:t>
      </w:r>
      <w:r>
        <w:tab/>
        <w:t>renowacja, rewaloryzacja, modernizacja tkanki mieszkaniowej w zakresie części wspólnych budynków mieszkalnych wielorodzinnych, jako element szerszego działania rewitalizacyjnego w tym:</w:t>
      </w:r>
      <w:r>
        <w:br/>
        <w:t>-</w:t>
      </w:r>
      <w:r>
        <w:tab/>
        <w:t>remont elewacji, fasad i dachów budynków oraz pomieszczeń i okien umieszczonych na elewacjach;</w:t>
      </w:r>
      <w:r>
        <w:br/>
        <w:t>-</w:t>
      </w:r>
      <w:r>
        <w:tab/>
        <w:t>remont, modernizacja instalacji: np. grzewczych, elektrycznych, gazowych i wodno-</w:t>
      </w:r>
      <w:r>
        <w:lastRenderedPageBreak/>
        <w:t>kanalizacyjnych w budynkach (jeśli nie przekraczają 40% wartości kosztów kwalifikowalnych i są częścią większego projektu);</w:t>
      </w:r>
      <w:r>
        <w:br/>
        <w:t>-</w:t>
      </w:r>
      <w:r>
        <w:tab/>
        <w:t>zagospodarowanie przyległego terenu bezpośrednio i funkcjonalnie związanego z obiektem np. budowa, remont, przebudowa małej architektury, ogrodzeń (tylko w przypadku, kiedy są częścią większego projektu rewitalizacyjnego);</w:t>
      </w:r>
      <w:r>
        <w:br/>
        <w:t>-</w:t>
      </w:r>
      <w:r>
        <w:tab/>
        <w:t xml:space="preserve">wyburzanie budynków i uporządkowanie przestrzeni publicznej (tylko w przypadku, kiedy jest częścią większego projektu rewitalizacyjnego i nie przekraczają 40% wartości kosztów kwalifikowalnych); </w:t>
      </w:r>
      <w:r>
        <w:br/>
        <w:t>-</w:t>
      </w:r>
      <w:r>
        <w:tab/>
        <w:t>w zakresie polityki bezpieczeństwa (np. monitoring, oświetlenie) oraz reagowania na różnego rodzaju zagrożenia w przestrzeni publicznej (tylko w przypadku, kiedy jest częścią większego projektu rewitalizacyjnego);</w:t>
      </w:r>
      <w:r>
        <w:br/>
        <w:t>•</w:t>
      </w:r>
      <w:r>
        <w:tab/>
        <w:t>uporządkowanie, zagospodarowanie oraz przywracanie funkcji społecznych przestrzeni publicznych, wokół których można koncentrować działalność gospodarczą szczególnie o charakterze usługowo-handlowym, sprzedaży produktów regionalnych w tradycyjny sposób bezpośrednio od producentów, pozwalających na poprawę warunków pracy i utworzenie nowych miejsc pracy, w tym dostosowanych do potrzeb osób z niepełnosprawnościami oraz miejsc dla przedsiębiorstw społecznych, w tym rozwój miejskich terenów zielonych – wyłącznie jako element zapewniający spójność kompleksowych projektów rewitalizacyjnych będący uzupełnieniem szerszego projektu.</w:t>
      </w:r>
      <w:r>
        <w:br/>
        <w:t>W obu typach zastosowanie będą mieć następujące zasady:</w:t>
      </w:r>
      <w:r>
        <w:br/>
        <w:t>•</w:t>
      </w:r>
      <w:r>
        <w:tab/>
        <w:t>wszelkie działania powinny być zgodne z duchem Europejskiego Zielonego Ładu, Nowego Europejskiego Bauhausu, z celami zrównoważonego rozwoju i gospodarką o obiegu zamkniętym,</w:t>
      </w:r>
      <w:r>
        <w:br/>
        <w:t>•</w:t>
      </w:r>
      <w:r>
        <w:tab/>
        <w:t>należy uwzględnić poprawę bezpieczeństwa przestrzeni publicznych, w tym dostosowanie przestrzeni publicznych, architektury, transportu i produktów do wymagań wszystkich obywateli – seniorów, osób z niepełnosprawnościami, ale też np. kobiet w ciąży i rodziców z małymi dziećmi, tzn. wykorzystywanie projektowania uniwersalnego,</w:t>
      </w:r>
      <w:r>
        <w:br/>
        <w:t>•</w:t>
      </w:r>
      <w:r>
        <w:tab/>
        <w:t>szczególną uwagę należy zwrócić na zachowanie i rozwój niebieskiej i zielonej infrastruktury, w szczególności na ochronę drzew, przez cały cykl projektu – w tym wycinania starodrzewia, usuwania zieleni w celu utwardzenia betonem placów i innych przestrzeni publicznych oraz na obszarach zabytkowych. Mając na uwadze konieczność dostosowania obszarów miejskich do zmian klimatycznych, należy również podjąć wysiłki na rzecz zwiększenia powierzchni czynnych biologicznie i uniknięcia tworzenia powierzchni zamkniętych,</w:t>
      </w:r>
      <w:r>
        <w:br/>
        <w:t>•</w:t>
      </w:r>
      <w:r>
        <w:tab/>
        <w:t>wsparciem nie będą objęte inwestycje w infrastrukturę drogową (w tym parkingi), chyba że stanowią integralną część większego projektu, a ich koszt nie przekracza 15% kosztów kwalifikowalnych. Projekty te nie mogą obejmować budowy nowych dróg lub parkingów ani – w przypadku istniejących – zwiększania ich przepustowości, ani w żaden inny sposób przyczyniać się do zwiększenia natężenia ruchu drogowego.</w:t>
      </w:r>
      <w:r>
        <w:br/>
        <w:t>W ramach ww. typów interwencji nie ma możliwości budowania nowych obiektów kubaturowych. W pierwszej kolejności należy wykorzystywać infrastrukturę istniejącą. Przebudowa i rozbudowa obiektów jest dopuszczona tylko w uzasadnionych przypadkach, tj. dostosowania obiektów do potrzeb osób z niepełnosprawnościami – w tym budowy windy, dostosowania obiektów do wymaganych warunków przeciwpożarowych, dostosowania obiektów do wymaganych warunków sanitarnych, budowy łączników, np. w obiektach zabytkowych pełniących nowe funkcje społeczne.</w:t>
      </w:r>
      <w:r>
        <w:br/>
        <w:t xml:space="preserve">Kwalifikowalne do dofinansowania będą projekty wynikające z GPR wpisanych do Wykazu gminnych </w:t>
      </w:r>
      <w:r>
        <w:lastRenderedPageBreak/>
        <w:t>programów rewitalizacji województwa mazowieckiego.</w:t>
      </w:r>
      <w:r>
        <w:br/>
        <w:t>Preferowane będą projekty:</w:t>
      </w:r>
      <w:r>
        <w:br/>
        <w:t>•</w:t>
      </w:r>
      <w:r>
        <w:tab/>
        <w:t>będące efektem konkursów architektonicznych, urbanistycznych i architektoniczno-urbanistycznych,</w:t>
      </w:r>
      <w:r>
        <w:br/>
        <w:t>•</w:t>
      </w:r>
      <w:r>
        <w:tab/>
        <w:t>stosujące rozwiązania energooszczędne – zmniejszenie zapotrzebowania i zużycia energii, a przez to zmniejszenie ogólnych kosztów eksploatacji budynków,</w:t>
      </w:r>
      <w:r>
        <w:br/>
        <w:t>•</w:t>
      </w:r>
      <w:r>
        <w:tab/>
        <w:t>wdrażające rozwiązania w zakresie obiegu cyrkularnego i zwiększających odporność na skutki zmian klimatycznych, niskoemisyjnych, zasobooszczędnych i cyfrowych,</w:t>
      </w:r>
      <w:r>
        <w:br/>
        <w:t>•</w:t>
      </w:r>
      <w:r>
        <w:tab/>
        <w:t>wykorzystujące efekt współpracy i synergii pomiędzy podmiotami,</w:t>
      </w:r>
      <w:r>
        <w:br/>
        <w:t>•</w:t>
      </w:r>
      <w:r>
        <w:tab/>
        <w:t>przyczyniające się do rozwoju lokalnej przedsiębiorczości,</w:t>
      </w:r>
      <w:r>
        <w:br/>
        <w:t>•</w:t>
      </w:r>
      <w:r>
        <w:tab/>
        <w:t>obiekty najbardziej zagrożone (z uwagi na zły stan techniczny) oraz zabytki najcenniejsze – posiadające wyjątkową wartość historyczną, artystyczną lub naukową objęte jedną z form ochrony prawnej, przewidzianych w Ustawie o ochronie zabytków i opiece nad zabytkami, które kreują ducha miejsca w obszarach dotkniętych kryzysem (dotyczy typu: Ochrona, rozwój i promowanie dziedzictwa kulturowego).</w:t>
      </w:r>
      <w:r>
        <w:br/>
        <w:t>•skierowanych na OSI wyznaczone w KSRR i wynikające z SR WM 2030+, tj. miast średnich tracących funkcje społeczno-gospodarcze oraz gmin zagrożonych trwałą marginalizacją,</w:t>
      </w:r>
      <w:r>
        <w:br/>
        <w:t>• realizowane w ramach MSIT.</w:t>
      </w:r>
      <w:r>
        <w:br/>
        <w:t>Dofinansowane projekty będą zgodne z art. 9 rozporządzenia 2021/1060, tj.:</w:t>
      </w:r>
      <w:r>
        <w:br/>
        <w:t>• przepisami KPP i KPON,</w:t>
      </w:r>
      <w:r>
        <w:br/>
        <w:t>• zasadą równości szans i niedyskryminacji, w tym dostępności osób z niepełnosprawnościami,</w:t>
      </w:r>
      <w:r>
        <w:br/>
        <w:t>• zasadą równości kobiet i mężczyzn,</w:t>
      </w:r>
      <w:r>
        <w:br/>
        <w:t>• zasadą zrównoważonego rozwoju oraz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r>
        <w:tab/>
      </w:r>
      <w:r>
        <w:br/>
        <w:t>W ramach wskazanych powyżej typów projektów finansowane w formie IF są inwestycje ukierunkowane na pobudzanie aktywności środowisk lokalnych i stymulowanie współpracy poprzez wsparcie przedsiębiorczości, samozatrudnienia i gospodarki społecznej, poprawę jakości przestrzeni. Wsparcie może zostać udzielone wyłącznie na rzecz projektów wynikających z GPR wpisanych do Wykazu  gminnych programów rewitalizacji województwa mazowieckiego. Produkty finansowe w formie pożyczek inwestycyjnych z rabatem kapitałowym będą skomponowane w zależności od typu odbiorcy ostatecznego, a wysokość umorzenia jest zależna od osiągnięcia określonych wskaźników. Zostanie zastosowane zróżnicowanie podejście w zależności od typu regionu RMR i RWS, uwzględniając różnice potencjału odbiorców wsparcia w ramach RWS wskazanych w mapie pomocy regionalnej.</w:t>
      </w:r>
      <w:r>
        <w:br/>
        <w:t>Grupę Ostatecznych Odbiorców IF stanowią w szczególności JST i ich jednostki organizacyjne, organizacje pozarządowe, organy władzy publicznej, przedsiębiorstwa, spółdzielnie i wspólnoty mieszkaniowe.</w:t>
      </w:r>
    </w:p>
    <w:p w14:paraId="089BB0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7E1CF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85</w:t>
      </w:r>
    </w:p>
    <w:p w14:paraId="0CF26D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B6AF58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1598A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326A1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3C02A2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C23D0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14F2273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8D854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0E216C2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33FFE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39227D6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7B315C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FAC74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5EF62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RWS - 50%, RMR - 15%</w:t>
      </w:r>
    </w:p>
    <w:p w14:paraId="4B9D5DD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F266C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30270B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5010E1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74873CE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Typ beneficjenta – ogólny</w:t>
      </w:r>
    </w:p>
    <w:p w14:paraId="033890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Przedsiębiorstwa realizujące cele publiczne, Służby publiczne</w:t>
      </w:r>
    </w:p>
    <w:p w14:paraId="2C05F70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BE396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Gminny_Program_Rewitalizacji, infrastruktura, instrument_finansowy, obszar_rewitalizacji, rewitalizacja, tereny_zdegradowane, tożsamość_lokalna, włączenie_społeczne, zrownoważony_rozwój</w:t>
      </w:r>
    </w:p>
    <w:p w14:paraId="650ACE8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6AA141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767D5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577A8FB" w14:textId="30FAF479"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48" w:history="1">
        <w:r w:rsidRPr="005B2474">
          <w:rPr>
            <w:rStyle w:val="Hipercze"/>
          </w:rPr>
          <w:t>https://funduszeuedlamazowsza.eu/uchwaly-km-fem/</w:t>
        </w:r>
      </w:hyperlink>
    </w:p>
    <w:p w14:paraId="0A9A98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7DC0EC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02EC3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1D073BD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WLWK-PLRO147 - Liczba wspartych budynków mieszkalnych zlokalizowanych na rewitalizowanych obszarach</w:t>
      </w:r>
    </w:p>
    <w:p w14:paraId="39904D6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WLWK-PLRO148 - Liczba wspartych obiektów infrastruktury (innych niż budynki mieszkalne) zlokalizowanych na rewitalizowanych obszarach</w:t>
      </w:r>
    </w:p>
    <w:p w14:paraId="6FF723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WLWK-PLRO140 - Liczba wspartych obiektów o charakterze niezabytkowym</w:t>
      </w:r>
    </w:p>
    <w:p w14:paraId="77082B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WLWK-PLRO139 - Liczba zabytków nieruchomych objętych wsparciem</w:t>
      </w:r>
    </w:p>
    <w:p w14:paraId="0F8034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4477B7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3FB4833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WLWK-PLRO146 - Powierzchnia obszarów objętych rewitalizacją</w:t>
      </w:r>
    </w:p>
    <w:p w14:paraId="0B1ADDB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20B8EF0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1B5C9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WLWK-PLRR048 - Liczba ludności zamieszkującej obszar rewitalizacji</w:t>
      </w:r>
    </w:p>
    <w:p w14:paraId="65F8D4A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16022B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WLWK-PLRR003 - Wartość inwestycji prywatnych uzupełniających wsparcie publiczne – instrumenty finansowe</w:t>
      </w:r>
    </w:p>
    <w:p w14:paraId="6C4360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FDD6F39"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3" w:name="_Toc237347997"/>
      <w:r>
        <w:rPr>
          <w:rFonts w:ascii="Calibri" w:hAnsi="Calibri" w:cs="Calibri"/>
          <w:sz w:val="32"/>
        </w:rPr>
        <w:lastRenderedPageBreak/>
        <w:t>Działanie FEMA.09.02 Rewitalizacja obszarów innych niż miejskie</w:t>
      </w:r>
      <w:bookmarkEnd w:id="53"/>
    </w:p>
    <w:p w14:paraId="1D00CCF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2C462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EFRR.CP5.II - Wspieranie zintegrowanego i sprzyjającego włączeniu społecznemu rozwoju społecznego, gospodarczego i środowiskowego, na poziomie lokalnym, kultury, dziedzictwa naturalnego, zrównoważonej turystyki i bezpieczeństwa na obszarach innych niż miejskie</w:t>
      </w:r>
    </w:p>
    <w:p w14:paraId="030832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6C8235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A4067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73D85F4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82 030 295,00</w:t>
      </w:r>
    </w:p>
    <w:p w14:paraId="4ECCFC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8F2C66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61 897 000,00</w:t>
      </w:r>
    </w:p>
    <w:p w14:paraId="04B1390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DE587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127 - Pozostała infrastruktura społeczna przyczyniająca się do włączenia społecznego, 166 - Ochrona, rozwój i promowanie dziedzictwa kulturowego i usług w dziedzinie kultury, 168 - Fizyczna odnowa i bezpieczeństwo przestrzeni publicznych</w:t>
      </w:r>
    </w:p>
    <w:p w14:paraId="098A32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5C6DFE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Ochrona, rozwój i promowanie dziedzictwa kulturowego,</w:t>
      </w:r>
      <w:r>
        <w:br/>
        <w:t>2.</w:t>
      </w:r>
      <w:r>
        <w:tab/>
        <w:t>Rewitalizacja obszarów zdegradowanych.</w:t>
      </w:r>
      <w:r>
        <w:br/>
        <w:t>Projekt musi być realizowany na obszarach wiejskich.</w:t>
      </w:r>
      <w:r>
        <w:br/>
        <w:t>Za obszary wiejskie należy przyjąć gminy wiejskie i gminy miejsko-wiejskie z miastami poniżej 5 tys. mieszkańców.</w:t>
      </w:r>
      <w:r>
        <w:br/>
      </w:r>
      <w:r>
        <w:br/>
        <w:t>W typie projektu: Ochrona, rozwój i promowanie dziedzictwa kulturowego za priorytetowe uznaje się wspieranie mających istotne znaczenie dla lokalnej społeczności obiektów zabytkowych, które funkcjonując w odnowionej formie będą stanowiły ważny element aktywizacji środowiska, zmiany społecznej lub ożywienia miejscowej gospodarki. Wsparciem objęte będą:</w:t>
      </w:r>
      <w:r>
        <w:br/>
        <w:t>•</w:t>
      </w:r>
      <w:r>
        <w:tab/>
        <w:t>konserwacja, renowacja, rewaloryzacja, modernizacja, adaptacja historycznych obiektów i zespołów zabytkowych wraz z ich otoczeniem, umożliwiająca zachowanie dotychczasowych funkcji, a także służąca nadaniu im nowych funkcji użytkowych (z przeznaczeniem w szczególności na cele kulturalne i edukacyjne), w tym również w połączeniu z działalnością komercyjną,</w:t>
      </w:r>
      <w:r>
        <w:br/>
        <w:t>•</w:t>
      </w:r>
      <w:r>
        <w:tab/>
        <w:t xml:space="preserve">ochrona i zachowanie zabytkowych ogrodów i parków, </w:t>
      </w:r>
      <w:r>
        <w:br/>
        <w:t>•</w:t>
      </w:r>
      <w:r>
        <w:tab/>
        <w:t xml:space="preserve">zabezpieczenie zabytków przed zniszczeniem lub kradzieżą, </w:t>
      </w:r>
      <w:r>
        <w:br/>
        <w:t>•</w:t>
      </w:r>
      <w:r>
        <w:tab/>
        <w:t>usuwanie barier architektonicznych dla osób z niepełnosprawnościami.</w:t>
      </w:r>
      <w:r>
        <w:br/>
        <w:t xml:space="preserve">Kluczowym efektem działań powinno być stworzenie trwałych podstaw dla harmonijnego </w:t>
      </w:r>
      <w:r>
        <w:lastRenderedPageBreak/>
        <w:t>funkcjonowania obiektów zabytkowych w przestrzeni publicznej sprzyjające utrzymywaniu spójności lokalnej społeczności i integrujące mieszkańców.</w:t>
      </w:r>
      <w:r>
        <w:br/>
        <w:t>Wsparty obiekt musi być objęty prawną formą ochrony zabytków lub musi być wpisany do wojewódzkiej lub gminnej ewidencji zabytków.</w:t>
      </w:r>
      <w:r>
        <w:br/>
        <w:t>W typie projektu: Rewitalizacja obszarów zdegradowanych, wsparciem objęte będą:</w:t>
      </w:r>
      <w:r>
        <w:br/>
        <w:t>•</w:t>
      </w:r>
      <w:r>
        <w:tab/>
        <w:t>renowacja, rewaloryzacja, modernizacja, adaptacja lokalnej infrastruktury służącej realizacji celów społecznych (w tym mieszkaniowych), gospodarczych, kulturalnych i edukacyjnych, w szczególności powiązanej z działaniami na rzecz rozwoju usług społecznych oraz aktywizacji społecznej i zawodowej (szczególnie z uwzględnieniem zastosowania rozwiązań energooszczędnych), w tym:</w:t>
      </w:r>
      <w:r>
        <w:br/>
        <w:t>-</w:t>
      </w:r>
      <w:r>
        <w:tab/>
        <w:t>remont elewacji, fasad i dachów budynków oraz pomieszczeń i okien,</w:t>
      </w:r>
      <w:r>
        <w:br/>
        <w:t>-</w:t>
      </w:r>
      <w:r>
        <w:tab/>
        <w:t>remont, modernizacja instalacji: np. grzewczych, elektrycznych, gazowych i wodnokanalizacyjnych w budynkach (jeśli nie przekraczają 40% wartości kosztów kwalifikowalnych projektu i są częścią większego projektu),</w:t>
      </w:r>
      <w:r>
        <w:br/>
        <w:t>-</w:t>
      </w:r>
      <w:r>
        <w:tab/>
        <w:t>zagospodarowanie przyległego terenu bezpośrednio i funkcjonalnie związanego z obiektem: np. budowa, remont, przebudowa małej architektury, ogrodzeń (tylko w przypadku, kiedy są częścią większego projektu rewitalizacyjnego),</w:t>
      </w:r>
      <w:r>
        <w:br/>
        <w:t>-</w:t>
      </w:r>
      <w:r>
        <w:tab/>
        <w:t xml:space="preserve">wyburzanie budynków i uporządkowanie przestrzeni publicznej (tylko w przypadku, kiedy jest częścią większego projektu rewitalizacyjnego i nie przekracza 40% wartości jego kosztów kwalifikowalnych), </w:t>
      </w:r>
      <w:r>
        <w:br/>
        <w:t>-</w:t>
      </w:r>
      <w:r>
        <w:tab/>
        <w:t xml:space="preserve"> w zakresie polityki bezpieczeństwa (np. monitoring, oświetlenie) oraz reagowania na różnego rodzaju zagrożenia w przestrzeni publicznej (tylko w przypadku, kiedy jest częścią większego projektu rewitalizacyjnego),</w:t>
      </w:r>
      <w:r>
        <w:br/>
        <w:t>•</w:t>
      </w:r>
      <w:r>
        <w:tab/>
        <w:t>renowacja, rewaloryzacja, modernizacja tkanki mieszkaniowej w zakresie części wspólnych budynków mieszkalnych wielorodzinnych, jako element szerszego działania rewitalizacyjnego w tym:</w:t>
      </w:r>
      <w:r>
        <w:br/>
        <w:t>-</w:t>
      </w:r>
      <w:r>
        <w:tab/>
        <w:t xml:space="preserve">remont  elewacji, fasad i dachów budynków oraz pomieszczeń i okien umieszczonych na elewacjach, </w:t>
      </w:r>
      <w:r>
        <w:br/>
        <w:t>-</w:t>
      </w:r>
      <w:r>
        <w:tab/>
        <w:t>remont, modernizacja instalacji: np. grzewczych, elektrycznych, gazowych i wodnokanalizacyjnych w budynkach (jeśli nie przekraczają 40% wartości kosztów kwalifikowalnych projektu i są częścią większego projektu),</w:t>
      </w:r>
      <w:r>
        <w:br/>
        <w:t>-</w:t>
      </w:r>
      <w:r>
        <w:tab/>
        <w:t>zagospodarowanie przyległego terenu bezpośrednio i funkcjonalnie związanego z obiektem: np. budowa, remont, przebudowa małej architektury, ogrodzeń (tylko w przypadku, kiedy są częścią większego projektu rewitalizacyjnego),</w:t>
      </w:r>
      <w:r>
        <w:br/>
        <w:t>-</w:t>
      </w:r>
      <w:r>
        <w:tab/>
        <w:t>wyburzanie budynków i uporządkowanie przestrzeni publicznej (tylko w przypadku, kiedy jest częścią większego projektu rewitalizacyjnego i nie przekraczają 40% wartości kosztów kwalifikowalnych projektu),</w:t>
      </w:r>
      <w:r>
        <w:br/>
        <w:t>-</w:t>
      </w:r>
      <w:r>
        <w:tab/>
        <w:t xml:space="preserve"> w zakresie polityki bezpieczeństwa (np. monitoring, oświetlenie) oraz reagowania na różnego rodzaju zagrożenia w przestrzeni publicznej (tylko w przypadku, kiedy jest częścią większego projektu rewitalizacyjnego),</w:t>
      </w:r>
      <w:r>
        <w:br/>
        <w:t>•</w:t>
      </w:r>
      <w:r>
        <w:tab/>
        <w:t xml:space="preserve">uporządkowanie, zagospodarowanie oraz przywracanie funkcji społecznych przestrzeni publicznych, wokół których można koncentrować działalność gospodarczą szczególnie o charakterze usługowo-handlowym, sprzedaży produktów regionalnych w tradycyjny sposób bezpośrednio od producentów, pozwalających na poprawę warunków pracy i utworzenie nowych miejsc pracy, w tym </w:t>
      </w:r>
      <w:r>
        <w:lastRenderedPageBreak/>
        <w:t>dostosowanych do potrzeb osób z niepełnosprawnościami, oraz miejsc dla przedsiębiorstw społecznych, w tym rozwój miejskich terenów zielonych – wyłącznie jako element zapewniający spójność kompleksowych projektów rewitalizacyjnych będący uzupełnieniem szerszego projektu.</w:t>
      </w:r>
      <w:r>
        <w:br/>
        <w:t xml:space="preserve">W obu typach zastosowanie będą mieć następujące zasady: </w:t>
      </w:r>
      <w:r>
        <w:br/>
        <w:t>•</w:t>
      </w:r>
      <w:r>
        <w:tab/>
        <w:t xml:space="preserve">wszelkie działania powinny być zgodne z duchem Europejskiego Zielonego Ładu, Nowego Europejskiego Bauhausu, z celami zrównoważonego rozwoju i gospodarką obiegu zamkniętego, </w:t>
      </w:r>
      <w:r>
        <w:br/>
        <w:t>•</w:t>
      </w:r>
      <w:r>
        <w:tab/>
        <w:t xml:space="preserve">należy uwzględnić poprawę bezpieczeństwa przestrzeni publicznych, w tym dostosowanie przestrzeni publicznych, architektury, transportu i produktów do wymagań wszystkich obywateli – seniorów, osób z niepełnosprawnościami, ale też np. kobiet w ciąży i rodziców z małymi dziećmi, tzn. wykorzystywanie projektowania uniwersalnego, </w:t>
      </w:r>
      <w:r>
        <w:br/>
        <w:t>•</w:t>
      </w:r>
      <w:r>
        <w:tab/>
        <w:t xml:space="preserve">szczególną uwagę należy zwrócić na zachowanie i rozwój niebieskiej i zielonej infrastruktury, w szczególności na ochronę drzew, przez cały cykl projektu – w tym wycinania starodrzewia, usuwania zieleni w celu utwardzenia betonem placów i innych przestrzeni publicznych oraz na obszarach zabytkowych. Mając na uwadze konieczność dostosowania do zmian klimatycznych, należy unikać tworzenia powierzchni uszczelnionych na rzecz zwiększających powierzchnie biologicznie czynne, </w:t>
      </w:r>
      <w:r>
        <w:br/>
        <w:t>•</w:t>
      </w:r>
      <w:r>
        <w:tab/>
        <w:t>wsparciem nie będą objęte inwestycje w infrastrukturę drogową (w tym parkingi – chyba że stanowią integralną część większego projektu, a ich koszt nie przekracza 15% kosztów kwalifikowanych operacji.</w:t>
      </w:r>
      <w:r>
        <w:br/>
        <w:t>W ramach ww. typów interwencji nie ma możliwości budowania nowych obiektów kubaturowych. W pierwszej kolejności należy wykorzystywać infrastrukturę istniejącą. Przebudowa i rozbudowa obiektów jest dopuszczona tylko w uzasadnionych przypadkach, tj. dostosowania obiektów do potrzeb osób z niepełnosprawnościami – w tym budowy windy, dostosowania obiektów do wymaganych warunków przeciwpożarowych,  dostosowania obiektów do wymaganych warunków sanitarnych, budowy łączników, np. w obiektach zabytkowych pełniących nowe funkcje społeczne.</w:t>
      </w:r>
      <w:r>
        <w:br/>
        <w:t>Kwalifikowalne do dofinansowania będą projekty wynikające z GPR wpisanych do wykazu programów rewitalizacji województwa mazowieckiego.</w:t>
      </w:r>
      <w:r>
        <w:br/>
        <w:t>Preferowane będą projekty:</w:t>
      </w:r>
      <w:r>
        <w:br/>
        <w:t>•</w:t>
      </w:r>
      <w:r>
        <w:tab/>
        <w:t>będące efektem konkursów architektonicznych, urbanistycznych i architektoniczno-urbanistycznych,</w:t>
      </w:r>
      <w:r>
        <w:br/>
        <w:t>•</w:t>
      </w:r>
      <w:r>
        <w:tab/>
        <w:t>stosujące rozwiązania energooszczędne – zmniejszenie zapotrzebowania i zużycia energii, a przez to zmniejszenie ogólnych kosztów eksploatacji budynków,</w:t>
      </w:r>
      <w:r>
        <w:br/>
        <w:t>•</w:t>
      </w:r>
      <w:r>
        <w:tab/>
        <w:t>wdrażające rozwiązania w zakresie obiegu cyrkularnego i zwiększających odporność na skutki zmian klimatycznych, niskoemisyjnych, zasobooszczędnych i cyfrowych,</w:t>
      </w:r>
      <w:r>
        <w:br/>
        <w:t>•</w:t>
      </w:r>
      <w:r>
        <w:tab/>
        <w:t>wykorzystujące efekt współpracy i synergii pomiędzy podmiotami,</w:t>
      </w:r>
      <w:r>
        <w:br/>
        <w:t>•</w:t>
      </w:r>
      <w:r>
        <w:tab/>
        <w:t xml:space="preserve">przyczyniające się do rozwoju lokalnej przedsiębiorczości, </w:t>
      </w:r>
      <w:r>
        <w:br/>
        <w:t>•       obiekty najbardziej zagrożone (z uwagi na zły stan techniczny) oraz zabytki najcenniejsze – posiadające wyjątkową wartość historyczną, artystyczną lub naukową objęte jedną z form ochrony prawnej, przewidzianych w Ustawie o ochronie zabytków i opiece nad zabytkami, które kreują ducha miejsca w obszarach dotkniętych kryzysem (dotyczy typu: Ochrona, rozwój i promowanie dziedzictwa kulturowego),</w:t>
      </w:r>
      <w:r>
        <w:br/>
        <w:t>•</w:t>
      </w:r>
      <w:r>
        <w:tab/>
        <w:t xml:space="preserve">skierowanych na obszary strategicznej interwencji (OSI) wyznaczone w KSRR i wynikające z SR WM 2030+, tj. miast średnich tracących funkcje społeczno-gospodarcze oraz gmin zagrożonych trwałą </w:t>
      </w:r>
      <w:r>
        <w:lastRenderedPageBreak/>
        <w:t>marginalizacją,</w:t>
      </w:r>
      <w:r>
        <w:br/>
        <w:t>•</w:t>
      </w:r>
      <w:r>
        <w:tab/>
        <w:t xml:space="preserve"> realizowane w ramach MSIT.</w:t>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 xml:space="preserve">W ramach wskazanych powyżej typów projektów finansowane w formie IF są inwestycje ukierunkowane na pobudzanie aktywności środowisk lokalnych i stymulowanie współpracy poprzez wsparcie przedsiębiorczości, samozatrudnienia i gospodarki społecznej, poprawę jakości przestrzeni. Wsparcie może zostać udzielone wyłącznie na rzecz projektów wynikających z gminnych programów rewitalizacji dla danego obszaru, na którym projekt jest wdrażany. Program rewitalizacji musi być uwzględniony w wykazie programów rewitalizacji województwa mazowieckiego. Produkty finansowe w formie pożyczek inwestycyjnych z rabatem kapitałowym będą skomponowane w zależności od typu odbiorcy ostatecznego, a wysokość umorzenia jest zależna od osiągnięcia określonych wskaźników.  </w:t>
      </w:r>
      <w:r>
        <w:br/>
        <w:t>Grupę Ostatecznych Odbiorców IF stanowią w szczególności JST i ich jednostki organizacyjne, organizacje pozarządowe, organy władzy publicznej, przedsiębiorstwa, spółdzielnie i wspólnoty mieszkaniowe.</w:t>
      </w:r>
    </w:p>
    <w:p w14:paraId="09887E9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46CCF8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D63419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3D92B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D6F7CF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91A46B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501756F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A6FE09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w:t>
      </w:r>
      <w:r>
        <w:lastRenderedPageBreak/>
        <w:t>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210847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5AB74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2DA345E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BBC77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384103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13BA0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776C3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24142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RWS - 50%, RMR - 15%</w:t>
      </w:r>
    </w:p>
    <w:p w14:paraId="1C9731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F40674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14C622A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02CF64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27F0DA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E0708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Przedsiębiorstwa realizujące cele publiczne, Służby publiczne</w:t>
      </w:r>
    </w:p>
    <w:p w14:paraId="4EEF0C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3B6A38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Gminny_Program_Rewitalizacji, infrastruktura, instrument_finansowy, obszar_rewitalizacji, rewitalizacja, tereny_zdegradowane, tożsamość_lokalna, włączenie_społeczne, zrownoważony_rozwój</w:t>
      </w:r>
    </w:p>
    <w:p w14:paraId="50AC8AE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659620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E11D95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DCCC18A" w14:textId="29883DFD"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49" w:history="1">
        <w:r w:rsidRPr="005B2474">
          <w:rPr>
            <w:rStyle w:val="Hipercze"/>
          </w:rPr>
          <w:t>https://funduszeuedlamazowsza.eu/uchwaly-km-fem/</w:t>
        </w:r>
      </w:hyperlink>
    </w:p>
    <w:p w14:paraId="3329B5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225F9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65E353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WLWK-PLRO199 - Liczba projektów, w których sfinansowano koszty racjonalnych usprawnień dla osób z niepełnosprawnościami (EFRR/FST/FS)</w:t>
      </w:r>
    </w:p>
    <w:p w14:paraId="5CFC394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WLWK-PLRO147 - Liczba wspartych budynków mieszkalnych zlokalizowanych na rewitalizowanych obszarach</w:t>
      </w:r>
    </w:p>
    <w:p w14:paraId="532E198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WLWK-PLRO148 - Liczba wspartych obiektów infrastruktury (innych niż budynki mieszkalne) zlokalizowanych na rewitalizowanych obszarach</w:t>
      </w:r>
    </w:p>
    <w:p w14:paraId="2A964DD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WLWK-PLRO140 - Liczba wspartych obiektów o charakterze niezabytkowym</w:t>
      </w:r>
    </w:p>
    <w:p w14:paraId="633556B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WLWK-PLRO139 - Liczba zabytków nieruchomych objętych wsparciem</w:t>
      </w:r>
    </w:p>
    <w:p w14:paraId="104BD4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4830FE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1A9A3F5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WLWK-PLRO146 - Powierzchnia obszarów objętych rewitalizacją</w:t>
      </w:r>
    </w:p>
    <w:p w14:paraId="2A7C265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77D709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F9296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WLWK-PLRR048 - Liczba ludności zamieszkującej obszar rewitalizacji</w:t>
      </w:r>
    </w:p>
    <w:p w14:paraId="0592AA8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66A45C3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WLWK-PLRR003 - Wartość inwestycji prywatnych uzupełniających wsparcie publiczne – instrumenty finansowe</w:t>
      </w:r>
    </w:p>
    <w:p w14:paraId="4A72E1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440FF4E"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4" w:name="_Toc237347998"/>
      <w:r>
        <w:rPr>
          <w:rFonts w:ascii="Calibri" w:hAnsi="Calibri" w:cs="Calibri"/>
          <w:sz w:val="32"/>
        </w:rPr>
        <w:t>Działanie FEMA.09.03 Mazowieckie Centrum Wsparcia Doradczego</w:t>
      </w:r>
      <w:bookmarkEnd w:id="54"/>
    </w:p>
    <w:p w14:paraId="3C8F221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A1B7C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 EFRR.CP5.II - Wspieranie zintegrowanego i sprzyjającego włączeniu społecznemu rozwoju społecznego, gospodarczego i środowiskowego, na poziomie lokalnym, kultury, dziedzictwa naturalnego, zrównoważonej turystyki i bezpieczeństwa na obszarach innych niż miejskie</w:t>
      </w:r>
    </w:p>
    <w:p w14:paraId="6B7706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03CE7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4B88C8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598D258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1 935 000,00</w:t>
      </w:r>
    </w:p>
    <w:p w14:paraId="16E4EA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70FCC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1 935 000,00</w:t>
      </w:r>
    </w:p>
    <w:p w14:paraId="64244B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Zakres interwencji</w:t>
      </w:r>
    </w:p>
    <w:p w14:paraId="5F76E5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169 - Inicjatywy na rzecz rozwoju terytorialnego, w tym przygotowanie strategii terytorialnych</w:t>
      </w:r>
    </w:p>
    <w:p w14:paraId="6F4714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4E5DE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 Mazowieckie Centrum Wsparcia Doradczego (MCWD)</w:t>
      </w:r>
      <w:r>
        <w:br/>
        <w:t xml:space="preserve">Projekty będą służyły realizacji usług polegających na wsparciu rozwoju zdolności administracyjnych jednostek samorządu terytorialnego, w tym wzmocnieniu potencjału JST do kompleksowego zarządzania rozwojem m.in. w zakresie: </w:t>
      </w:r>
      <w:r>
        <w:br/>
        <w:t>•</w:t>
      </w:r>
      <w:r>
        <w:tab/>
        <w:t>aktualizacji/zmiany strategii rozwoju ponadlokalnego/terytorialnej oraz innych dokumentów planistycznych i analitycznych wspierających kompleksowy rozwój, zarządzanie, monitorowanie i ocenę,</w:t>
      </w:r>
      <w:r>
        <w:br/>
        <w:t>•</w:t>
      </w:r>
      <w:r>
        <w:tab/>
        <w:t xml:space="preserve">wdrażania strategii rozwoju ponadlokalnego/terytorialnej/ i efektywnej realizacji projektów zintegrowanych. </w:t>
      </w:r>
      <w:r>
        <w:br/>
        <w:t>Celem projektu jest wzmocnienie kompetencji JST do zarządzania strategicznym rozwojem lokalnym w partnerstwach społeczno-gospodarczych na rzecz zintegrowanych działań, skutecznego pozyskiwania środków i kapitału inwestycyjnego na projekty rozwojowe.</w:t>
      </w:r>
      <w:r>
        <w:br/>
        <w:t>Usługi doradcze będą skierowane przede wszystkim do JST objętych MSIT.</w:t>
      </w:r>
      <w:r>
        <w:br/>
        <w:t>JST otrzymają wsparcie doradcze, wzmacniające ich potencjał instytucjonalny, zdolności współpracy i umiejętności zarządcze, konieczne do wdrażania strategii na rzecz realizacji instrumentów terytorialnych. Proces doradczy będzie dla każdego z partnerstw samorządowych indywidualnie dobrany w zależności od zidentyfikowanych potrzeb i obejmie działania z zakresu:</w:t>
      </w:r>
      <w:r>
        <w:br/>
        <w:t>•</w:t>
      </w:r>
      <w:r>
        <w:tab/>
        <w:t xml:space="preserve">animacji zacieśniania współpracy JST w obszarze funkcjonalnym, </w:t>
      </w:r>
      <w:r>
        <w:br/>
        <w:t>•</w:t>
      </w:r>
      <w:r>
        <w:tab/>
        <w:t>wzmacniania mechanizmów zarządzania strategicznego,</w:t>
      </w:r>
      <w:r>
        <w:br/>
        <w:t>•</w:t>
      </w:r>
      <w:r>
        <w:tab/>
        <w:t xml:space="preserve">wsparcia w przygotowaniu wniosków o dofinansowanie projektów zintegrowanych ujętych w strategiach terytorialnych, </w:t>
      </w:r>
      <w:r>
        <w:br/>
        <w:t>•</w:t>
      </w:r>
      <w:r>
        <w:tab/>
        <w:t>szkoleń i warsztatów dla kadry zaangażowanej w proces wdrożenia strategii terytorialnych/rozwoju ponadlokalnego,</w:t>
      </w:r>
      <w:r>
        <w:br/>
        <w:t>•</w:t>
      </w:r>
      <w:r>
        <w:tab/>
        <w:t>wymiany doświadczeń pomiędzy partnerstwami.</w:t>
      </w:r>
      <w:r>
        <w:br/>
      </w:r>
      <w:r>
        <w:br/>
        <w:t>Wspierane projekty muszą wynikać ze strategii IIT w ramach MSIT.</w:t>
      </w:r>
      <w:r>
        <w:br/>
      </w:r>
      <w:r>
        <w:br/>
        <w:t>Dofinansowane projekty będą zgodne z art. 9 rozporządzenia 2021/1060, tj.:</w:t>
      </w:r>
      <w:r>
        <w:br/>
        <w:t>•</w:t>
      </w:r>
      <w:r>
        <w:tab/>
        <w:t>przepisami Karty Praw Podstawowych i Konwencji o prawach osób</w:t>
      </w:r>
      <w:r>
        <w:br/>
        <w:t>•</w:t>
      </w:r>
      <w:r>
        <w:tab/>
        <w:t>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p>
    <w:p w14:paraId="51A4FB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154A8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100</w:t>
      </w:r>
    </w:p>
    <w:p w14:paraId="67C2860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C9D83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31DB07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AC7CC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1DF449C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FBE776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8F6D7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0BAD3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40% stawka ryczałtowa na koszty projektu inne niż koszty personelu (podstawa wyliczania: koszty bezpośrednie personelu) [art. 56 CPR], do 7% stawka ryczałtowa na koszty pośrednie (podstawa wyliczenia: koszty bezpośrednie) [art. 54(a) CPR]</w:t>
      </w:r>
    </w:p>
    <w:p w14:paraId="1A551A9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DEA8D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A4B8F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7FDCF1D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5A371C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F5F62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9449ED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88EC5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5832CB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FA743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3EC3F49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E8ACE1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społeczne i związki wyznaniowe, Partnerstwa, Przedsiębiorstwa</w:t>
      </w:r>
    </w:p>
    <w:p w14:paraId="2E106F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791FE6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pozarządowe, Partnerstwa instytucji pozarządowych</w:t>
      </w:r>
    </w:p>
    <w:p w14:paraId="46DA8A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90596C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dokumenty_planistyczne, dokumenty_strategiczne, strategia_terytorialna</w:t>
      </w:r>
    </w:p>
    <w:p w14:paraId="767580D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4DDB0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17BC54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F07C416" w14:textId="49E5E4F0"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50" w:history="1">
        <w:r w:rsidRPr="005B2474">
          <w:rPr>
            <w:rStyle w:val="Hipercze"/>
          </w:rPr>
          <w:t>https://funduszeuedlamazowsza.eu/uchwaly-km-fem/</w:t>
        </w:r>
      </w:hyperlink>
    </w:p>
    <w:p w14:paraId="57FA55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9B9D9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29C800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PROG-FEMA5RO001 - Liczba JST objętych wsparciem</w:t>
      </w:r>
    </w:p>
    <w:p w14:paraId="78B579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PROG-FEMA5RO002 - Liczba partnerstw JST objętych wsparciem</w:t>
      </w:r>
    </w:p>
    <w:p w14:paraId="650EEA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84D6E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1D8E359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3AA36EB"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5" w:name="_Toc237347999"/>
      <w:r>
        <w:rPr>
          <w:rFonts w:ascii="Calibri" w:hAnsi="Calibri" w:cs="Calibri"/>
          <w:sz w:val="32"/>
        </w:rPr>
        <w:t>Działanie FEMA.09.04 Metropolitalne Centrum Wsparcia Doradczego</w:t>
      </w:r>
      <w:bookmarkEnd w:id="55"/>
    </w:p>
    <w:p w14:paraId="6409D2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7DD5F8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w:t>
      </w:r>
    </w:p>
    <w:p w14:paraId="32A68E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AB63AF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7BFFF2F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51999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1 200 000,00</w:t>
      </w:r>
    </w:p>
    <w:p w14:paraId="6229132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CD0BDC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600 000,00</w:t>
      </w:r>
    </w:p>
    <w:p w14:paraId="4F0E13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A1E41C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169 - Inicjatywy na rzecz rozwoju terytorialnego, w tym przygotowanie strategii terytorialnych</w:t>
      </w:r>
    </w:p>
    <w:p w14:paraId="25CD9C3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BEE198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 Metropolitalne Centrum Wsparcia Doradczego</w:t>
      </w:r>
      <w:r>
        <w:br/>
        <w:t>Projekty będą służyły realizacji usług polegających na wsparciu rozwoju zdolności administracyjnych jednostek samorządu terytorialnego, w tym wzmocnieniu potencjału JST do kompleksowego zarządzania rozwojem m.in. w zakresie wdrażania strategii rozwoju ponadlokalnego/terytorialnej i efektywnej realizacji projektów zintegrowanych.</w:t>
      </w:r>
      <w:r>
        <w:br/>
        <w:t xml:space="preserve">Celem projektu jest wzmocnienie kompetencji JST do zarządzania strategicznym rozwojem lokalnym w </w:t>
      </w:r>
      <w:r>
        <w:lastRenderedPageBreak/>
        <w:t>partnerstwach społeczno-gospodarczych na rzecz zintegrowanych działań, skutecznego pozyskiwania środków i kapitału inwestycyjnego na projekty rozwojowe.</w:t>
      </w:r>
      <w:r>
        <w:br/>
        <w:t>Usługi doradcze będą skierowane do JST należących do Stowarzyszenia "Metropolia Warszawa"   w celu zapewnienia właściwego wdrażania i monitorowania działań wynikających ze Strategii ZIT,  Strategii rozwoju metropolii warszawskiej do 2040 roku oraz Planu Zrównoważonej Mobilności Metropolii Warszawskiej (SUMP), a także podniesienie kompetencji kadry zaangażowanej w proces wdrażania instrumentu terytorialnego w poszczególnych JST.</w:t>
      </w:r>
      <w:r>
        <w:br/>
        <w:t>JST otrzymają wsparcie doradcze, wzmacniające ich potencjał instytucjonalny, zdolności współpracy i umiejętności zarządcze, konieczne do wdrażania strategii na rzecz realizacji instrumentów terytorialnych. Proces doradczy prowadzony będzie w zależności od zidentyfikowanych potrzeb i obejmie działania z zakresu:</w:t>
      </w:r>
      <w:r>
        <w:br/>
        <w:t xml:space="preserve">• animacji zacieśniania współpracy JST w obszarze funkcjonalnym, </w:t>
      </w:r>
      <w:r>
        <w:br/>
        <w:t>• wzmacniania mechanizmów zarządzania strategicznego,</w:t>
      </w:r>
      <w:r>
        <w:br/>
        <w:t xml:space="preserve">• wsparcia w przygotowaniu wniosków o dofinansowanie projektów zintegrowanych, </w:t>
      </w:r>
      <w:r>
        <w:br/>
        <w:t>• szkoleń i warsztatów dla kadry zaangażowanej w proces wdrożenia strategii ZIT,</w:t>
      </w:r>
      <w:r>
        <w:br/>
        <w:t>• wymiany doświadczeń pomiędzy partnerami.</w:t>
      </w:r>
      <w:r>
        <w:br/>
        <w:t xml:space="preserve"> </w:t>
      </w:r>
      <w:r>
        <w:br/>
        <w:t>Wspierane projekty muszą wynikać ze strategii ZIT.</w:t>
      </w:r>
      <w:r>
        <w:br/>
        <w:t xml:space="preserve"> </w:t>
      </w:r>
      <w:r>
        <w:br/>
        <w:t>Dofinansowane projekty będą zgodne z art. 9 rozporządzenia 2021/1060, tj.:</w:t>
      </w:r>
      <w:r>
        <w:br/>
        <w:t>• przepisami Karty Praw Podstawowych i Konwencji o prawach osób</w:t>
      </w:r>
      <w:r>
        <w:br/>
        <w:t>•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p>
    <w:p w14:paraId="585566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F5A254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205501D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8336D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67F968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61AA8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27C88D4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3E12A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w:t>
      </w:r>
    </w:p>
    <w:p w14:paraId="00386DD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FD9826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40% stawka ryczałtowa na koszty projektu inne niż koszty personelu (podstawa wyliczania: koszty bezpośrednie personelu) [art. 56 CPR], do 7% stawka ryczałtowa na koszty pośrednie (podstawa wyliczenia: koszty bezpośrednie) [art. 54(a) CPR]</w:t>
      </w:r>
    </w:p>
    <w:p w14:paraId="266B977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89E52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CBCCF0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25DF6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59BE2CB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FC5DB9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148626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98A113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40C3F1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80474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1E0152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3B8B9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50B6B9D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D056C1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w:t>
      </w:r>
    </w:p>
    <w:p w14:paraId="240F89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3210F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dokumenty_planistyczne, dokumenty_strategiczne, strategia_terytorialna</w:t>
      </w:r>
    </w:p>
    <w:p w14:paraId="264F478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A78B3C8" w14:textId="63F2970A"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51" w:history="1">
        <w:r w:rsidRPr="005B2474">
          <w:rPr>
            <w:rStyle w:val="Hipercze"/>
          </w:rPr>
          <w:t>https://funduszeuedlamazowsza.eu/uchwaly-km-fem/</w:t>
        </w:r>
      </w:hyperlink>
    </w:p>
    <w:p w14:paraId="1395DC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7276A6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3E2A24D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PROG-FEMA5RO001 - Liczba JST objętych wsparciem</w:t>
      </w:r>
    </w:p>
    <w:p w14:paraId="71D55A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PROG-FEMA5RO002 - Liczba partnerstw JST objętych wsparciem</w:t>
      </w:r>
    </w:p>
    <w:p w14:paraId="20EC72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9FCE07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653B0A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251BD85D"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56" w:name="_Toc237348000"/>
      <w:r>
        <w:rPr>
          <w:rFonts w:ascii="Calibri" w:hAnsi="Calibri" w:cs="Calibri"/>
          <w:i w:val="0"/>
          <w:sz w:val="32"/>
        </w:rPr>
        <w:lastRenderedPageBreak/>
        <w:t>Priorytet FEMA.10 Pomoc techniczna (EFRR)</w:t>
      </w:r>
      <w:bookmarkEnd w:id="56"/>
    </w:p>
    <w:p w14:paraId="38481D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41A986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1FA311E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4DF1729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42C648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4BDB05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 - Pomoc Techniczna</w:t>
      </w:r>
    </w:p>
    <w:p w14:paraId="2C7FE6E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41C961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65A910E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21F9C81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83 006 868,00</w:t>
      </w:r>
    </w:p>
    <w:p w14:paraId="067D8B8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195E488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60 091 722,00</w:t>
      </w:r>
    </w:p>
    <w:p w14:paraId="511058E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7B2E65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36,02</w:t>
      </w:r>
    </w:p>
    <w:p w14:paraId="3DF183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753CA32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63,98</w:t>
      </w:r>
    </w:p>
    <w:p w14:paraId="324BA9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1BA2D1D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059E47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39DEF76"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7" w:name="_Toc237348001"/>
      <w:r>
        <w:rPr>
          <w:rFonts w:ascii="Calibri" w:hAnsi="Calibri" w:cs="Calibri"/>
          <w:sz w:val="32"/>
        </w:rPr>
        <w:t>Działanie FEMA.10.01 Pomoc techniczna EFRR</w:t>
      </w:r>
      <w:bookmarkEnd w:id="57"/>
    </w:p>
    <w:p w14:paraId="7CF859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EA0E36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PT.1 - Pomoc Techniczna</w:t>
      </w:r>
    </w:p>
    <w:p w14:paraId="5D40AB9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50319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83 006 868,00</w:t>
      </w:r>
    </w:p>
    <w:p w14:paraId="32F010D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EC414E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60 091 722,00</w:t>
      </w:r>
    </w:p>
    <w:p w14:paraId="0363A0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Zakres interwencji</w:t>
      </w:r>
    </w:p>
    <w:p w14:paraId="201A47E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179 - Informacja i komunikacja, 180 - Przygotowanie, wdrażanie, monitorowanie i kontrola, 181 - Ewaluacja i badania, gromadzenie danych, 182 - Wzmocnienie potencjału instytucji państwa członkowskiego, beneficjentów i odpowiednich partnerów</w:t>
      </w:r>
    </w:p>
    <w:p w14:paraId="2B4644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1ADE2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1.</w:t>
      </w:r>
      <w:r>
        <w:tab/>
        <w:t>Wsparcie instytucji Programu w zarządzaniu zasobami ludzkimi (ZZL) i wzmocnienie ich potencjału administracyjnego.</w:t>
      </w:r>
      <w:r>
        <w:br/>
        <w:t>W ramach tego typu projektów będzie:</w:t>
      </w:r>
      <w:r>
        <w:br/>
        <w:t>•</w:t>
      </w:r>
      <w:r>
        <w:tab/>
        <w:t>utrzymywanie stabilnego poziomu zatrudnienia i zapobieganie fluktuacji wykwalifikowanego personelu poprzez zapewnienie przejrzystych ścieżek kariery i rozwoju kompetencji zawodowych, promowanie elastycznych form pracy,</w:t>
      </w:r>
      <w:r>
        <w:br/>
        <w:t>•</w:t>
      </w:r>
      <w:r>
        <w:tab/>
        <w:t>zapewnienie wykwalifikowanej kadry kierowniczej posiadającej wiedzę z zarzadzania zespołem, różnorodnością i przestrzeganie norm etycznych,</w:t>
      </w:r>
      <w:r>
        <w:br/>
        <w:t>•</w:t>
      </w:r>
      <w:r>
        <w:tab/>
        <w:t>podnoszenie poziomu wiedzy i kwalifikacji pracowników w zakresie wdrażania funduszy UE (zmniejszenie obciążeń administracyjnych, stosowanie zielonych i społecznych zamówień, ochrona bioróżnorodności, zasady horyzontalne), poprzez szkolenia dopasowane do potrzeb instytucji,</w:t>
      </w:r>
      <w:r>
        <w:br/>
        <w:t>•</w:t>
      </w:r>
      <w:r>
        <w:tab/>
        <w:t>utrzymywanie odpowiedniego zaplecza organizacyjnego, technicznego i administracyjnego.</w:t>
      </w:r>
      <w:r>
        <w:br/>
      </w:r>
      <w:r>
        <w:br/>
        <w:t>2.</w:t>
      </w:r>
      <w:r>
        <w:tab/>
        <w:t>Wsparcie skutecznych procedur i procesów we wdrażaniu Programu.</w:t>
      </w:r>
      <w:r>
        <w:br/>
        <w:t>W ramach tego typu projektów będzie:</w:t>
      </w:r>
      <w:r>
        <w:br/>
        <w:t>•</w:t>
      </w:r>
      <w:r>
        <w:tab/>
        <w:t>stosowanie przejrzystego procesu zarządzania finansowego i kontroli w realizacji Programu (w tym zamknięcie perspektywy 2014-2020 oraz przygotowanie kolejnej po 2027 r.),</w:t>
      </w:r>
      <w:r>
        <w:br/>
        <w:t>•</w:t>
      </w:r>
      <w:r>
        <w:tab/>
        <w:t>finansowanie zadań IZ i IP, m.in. przygotowanie, programowanie, organizacja naborów, weryfikacja płatności, monitoring, ewaluacja, księgowanie wydatków, audyt i kontrola Programu (w tym funkcjonowanie KM), rozpatrywanie skarg i odwołań,</w:t>
      </w:r>
      <w:r>
        <w:br/>
        <w:t>•</w:t>
      </w:r>
      <w:r>
        <w:tab/>
        <w:t>utrzymywanie systemów IT z uwzględnieniem zasad dostępności cyfrowej,</w:t>
      </w:r>
      <w:r>
        <w:br/>
        <w:t>•</w:t>
      </w:r>
      <w:r>
        <w:tab/>
        <w:t>finansowanie analiz i studiów, ekspertyz i opinii prawnych, a także niezbędnych badań ewaluacyjnych,</w:t>
      </w:r>
      <w:r>
        <w:br/>
        <w:t>•</w:t>
      </w:r>
      <w:r>
        <w:tab/>
        <w:t>stosowanie przejrzystych i konkurencyjnych procesów zamówień publicznych z odpowiednimi systemami kontroli wewnętrznej:</w:t>
      </w:r>
      <w:r>
        <w:br/>
        <w:t>- strategiczne wykorzystanie zamówień publicznych do wspierania celów polityki spójności, stosowania kryteriów związanych z jakością i kosztami cyklu życia produktu i usług, ekologicznych, społecznych i innowacyjnych. Przy wyborze wykonawcy usług szkoleniowych będą stosowane kryteria wiedzy i doświadczenia w przedmiocie szkolenia,</w:t>
      </w:r>
      <w:r>
        <w:br/>
        <w:t>•</w:t>
      </w:r>
      <w:r>
        <w:tab/>
        <w:t xml:space="preserve">zapobieganie, wykrywanie, korygowanie i raportowanie w obszarze nieprawidłowości i nadużyć finansowych oraz korupcji. IZ będzie posiadać i stosować skuteczne i proporcjonalne środki i procedury zwalczania nadużyć finansowych, uwzględniające stwierdzone ryzyka, zgodnie z art. 74 ust. 1 lit. c) i lit. d) rozporządzenia ogólnego. Będą stosowane mechanizmy służące zwiększeniu przejrzystości, zaangażowaniu społeczeństwa obywatelskiego, organizacji typu watch-dog, ocenie ryzyka i działania </w:t>
      </w:r>
      <w:r>
        <w:lastRenderedPageBreak/>
        <w:t>edukacyjne. IZ zapewni takie działania zapobiegawcze jak:</w:t>
      </w:r>
      <w:r>
        <w:br/>
        <w:t>- zgłaszanie i aktualizowanie nieprawidłowości w systemie IMS, wzmocnienie procedur kontroli w celu unikania konfliktu interesów, np. zwiększenie przejrzystości łańcucha podwykonawców, uwzględniając weryfikację struktury właścicielskiej beneficjentów, wykonawców oraz ekspertów oceniających i nadzorujących projekty,</w:t>
      </w:r>
      <w:r>
        <w:br/>
        <w:t>•</w:t>
      </w:r>
      <w:r>
        <w:tab/>
        <w:t>utworzenie systemu rejestracji i kontroli przy wyborze projektów dla zachowania ścieżki audytu,</w:t>
      </w:r>
      <w:r>
        <w:br/>
        <w:t>•</w:t>
      </w:r>
      <w:r>
        <w:tab/>
        <w:t>utworzenie systemu rejestracji i kontroli przy wyborze projektów dla zachowania ścieżki audytu,</w:t>
      </w:r>
      <w:r>
        <w:br/>
        <w:t>•</w:t>
      </w:r>
      <w:r>
        <w:tab/>
        <w:t>istnienie mechanizmu oznaczania i wykluczania z dofinansowania osób/podmiotów stanowiących zagrożenie dla interesów UE,</w:t>
      </w:r>
      <w:r>
        <w:br/>
        <w:t>•</w:t>
      </w:r>
      <w:r>
        <w:tab/>
        <w:t>uwzględnienie nowych ryzyk, np. związanych ze zmianą zasad wydatkowania funduszy UE,</w:t>
      </w:r>
      <w:r>
        <w:br/>
        <w:t>•</w:t>
      </w:r>
      <w:r>
        <w:tab/>
        <w:t>wykorzystanie dostępnych narzędzi data mining, typu Arachne lub podobnego oraz narzędzi mających na celu wykrywanie podejrzeń nadużyć finansowych, plagiatu,</w:t>
      </w:r>
      <w:r>
        <w:br/>
        <w:t>- promowanie paktów na rzecz uczciwości</w:t>
      </w:r>
      <w:r>
        <w:br/>
        <w:t>3.</w:t>
      </w:r>
      <w:r>
        <w:tab/>
        <w:t>Wsparcie funkcjonowania komitetów, grup roboczych i doradczych, partnerów.</w:t>
      </w:r>
      <w:r>
        <w:br/>
        <w:t>W ramach tego typu projektów będzie:</w:t>
      </w:r>
      <w:r>
        <w:br/>
        <w:t>•</w:t>
      </w:r>
      <w:r>
        <w:tab/>
        <w:t xml:space="preserve">obsługa prac KM i grup roboczych powoływanych przez KM, w tym Grupy Roboczej ds. monitorowania zasad horyzontalnych, w skład której wejdą przedstawiciele organizacji społecznych zrzeszających osoby z grup narażonych na dyskryminację lub zajmujących się równouprawnieniem danej grupy, a także wsparcie grup doradczych zaangażowanych we wdrażanie Programu, w tym członków KM reprezentujących partnerów oraz społeczeństwo obywatelskie (art. 8 ust. 1 Rozporządzenia ogólnego). </w:t>
      </w:r>
      <w:r>
        <w:br/>
        <w:t>•</w:t>
      </w:r>
      <w:r>
        <w:tab/>
        <w:t>powołanie Koordynatora ds. Równości i Niedyskryminacji, wspieranie i zwiększenie jego roli we wdrażaniu Programu,</w:t>
      </w:r>
      <w:r>
        <w:br/>
        <w:t>•</w:t>
      </w:r>
      <w:r>
        <w:tab/>
        <w:t>pomoc w realizacji zasad horyzontalnych, ze szczególnym uwzględnieniem barier i potrzeb osób z grup narażonych na dyskryminację, m.in. ekspertyzy, szkolenia i konferencje tematyczne, materiały informacyjno-edukacyjne, a także audyt istniejących rozwiązań i ocena ich skuteczności dla wypracowania narzędzi i mechanizmów wdrażania horyzontalnych zasad równego traktowania, niedyskryminacji i poszanowania KPP.</w:t>
      </w:r>
      <w:r>
        <w:br/>
        <w:t>4.</w:t>
      </w:r>
      <w:r>
        <w:tab/>
        <w:t>Wzmocnienie beneficjentów i potencjalnych beneficjentów programu.</w:t>
      </w:r>
      <w:r>
        <w:br/>
        <w:t>W ramach tego typu projektów będzie:</w:t>
      </w:r>
      <w:r>
        <w:br/>
        <w:t>-</w:t>
      </w:r>
      <w:r>
        <w:tab/>
        <w:t>rozwój kompetencji niezbędnych do skutecznego aplikowania o fundusze UE, prowadzenia i rozliczania projektów, m.in. organizowanie szkoleń, usług doradczych, konsultacji i spotkań informacyjnych, które będą dopasowane do potrzeb beneficjentów, w tym pomoc w dostosowaniu działań do założeń Europejskiego Zielonego Ładu i  DNSH;</w:t>
      </w:r>
      <w:r>
        <w:br/>
        <w:t>-</w:t>
      </w:r>
      <w:r>
        <w:tab/>
        <w:t>pomoc w wymianie doświadczeń i najlepszych praktyk w zakresie przygotowania i wdrażania projektów;</w:t>
      </w:r>
      <w:r>
        <w:br/>
        <w:t>-</w:t>
      </w:r>
      <w:r>
        <w:tab/>
        <w:t>podnoszenie wiedzy na temat wdrażania zasad horyzontalnych w realizowanych projektach, szczególnie dla kadry w instytucjach z obszaru edukacji, zdrowia i pomocy społecznej w zakresie przeciwdziałania i zwalczania dyskryminacji osób i grup narażonych/dyskryminowanych.</w:t>
      </w:r>
      <w:r>
        <w:br/>
      </w:r>
      <w:r>
        <w:br/>
        <w:t>5.</w:t>
      </w:r>
      <w:r>
        <w:tab/>
        <w:t>Budowanie potencjału interesariuszy poprzez wsparcie efektywnego zarzadzanie procesem przedsiębiorczego odkrywania w ramach inteligentnej specjalizacji województwa mazowieckiego.</w:t>
      </w:r>
      <w:r>
        <w:br/>
        <w:t xml:space="preserve">W ramach tego typu projektów będzie wsparcie PPO w zakresie wzmocnienia zdolności interesariuszy, </w:t>
      </w:r>
      <w:r>
        <w:lastRenderedPageBreak/>
        <w:t xml:space="preserve">które są niezbędne do efektywnego administrowania i wykorzystania funduszy w CS 1(iii): </w:t>
      </w:r>
      <w:r>
        <w:br/>
        <w:t>-</w:t>
      </w:r>
      <w:r>
        <w:tab/>
        <w:t xml:space="preserve">szkolenia, pomoc ekspercka, konsulting i doradztwo, działania informacyjne i promocyjne dotyczące RIS, w tym opracowanie, utrzymanie i aktualizacja strony internetowej, </w:t>
      </w:r>
      <w:r>
        <w:br/>
        <w:t>-</w:t>
      </w:r>
      <w:r>
        <w:tab/>
        <w:t xml:space="preserve">wsparcie budowania zdolności interesariuszy w zakresie podnoszenia ich wiedzy na temat rozwoju umiejętności na rzecz RIS, transformacji przemysłowej, przedsiębiorczości i zdolności przedsiębiorstw dostosowania się do zmian oraz w zakresie monitoringu ewaluacji i aktualizacji dokumentów (w tym strategicznych) związanych z RIS.  </w:t>
      </w:r>
      <w:r>
        <w:br/>
        <w:t>W przypadku, gdy środki z PT okażą się niewystarczające, IZ będzie mogła podjąć decyzję o wykorzystaniu zapisów art. 37 rozporządzenia 2021/1061 lub zapisów art. 3.4 rozporządzenia 2021/1058.</w:t>
      </w:r>
      <w:r>
        <w:br/>
        <w:t>6.</w:t>
      </w:r>
      <w:r>
        <w:tab/>
        <w:t>Skuteczna i efektywna informacja i promocja FEM 2021-2027</w:t>
      </w:r>
      <w:r>
        <w:br/>
        <w:t>W ramach tego typu projektów będzie:</w:t>
      </w:r>
      <w:r>
        <w:br/>
        <w:t>•</w:t>
      </w:r>
      <w:r>
        <w:tab/>
        <w:t>utrzymanie portali internetowych poświęconych wdrażaniu projektów FEM 2021-2027 (w tym programów z poprzednich perspektyw i planów po 2027 r.),</w:t>
      </w:r>
      <w:r>
        <w:br/>
        <w:t>•</w:t>
      </w:r>
      <w:r>
        <w:tab/>
        <w:t>udostępnienie informacji przedstawiających korzyści z FEM 2021-2027 oraz Funduszy UE dla regionu,</w:t>
      </w:r>
      <w:r>
        <w:br/>
        <w:t>•</w:t>
      </w:r>
      <w:r>
        <w:tab/>
        <w:t>zapewnienie popularyzacji funduszy europejskich, przekazywanie informacji o adresach stron www i w mediach społecznościowych m. in.  materiały promocyjne trafiające do jak największej liczby odbiorców oraz zachęcanie do pozyskiwania informacji i korzystania z FE (wybór produktów i środków będzie dostosowany do charakteru organizowanego wydarzenia oraz rozwiązań ekologicznych),</w:t>
      </w:r>
      <w:r>
        <w:br/>
        <w:t>•</w:t>
      </w:r>
      <w:r>
        <w:tab/>
        <w:t>zapewnienie przestrzegania postanowień KPP oraz prawidłowej realizacji zasad horyzontalnych przez IZ/IP/beneficjentów, (wsparcia eksperckie, szkolenia i konferencje tematyczne) Spójność systemu informacji i komunikacji Programu, w tym wizualizacji marki FE, działań podejmowanych przez IZ/IP, szczegółowy opis określany będzie w Strategii komunikacji FEM 2021-2027 i rocznych planach działań.</w:t>
      </w:r>
      <w:r>
        <w:br/>
        <w:t>Działania komunikacyjne będą prowadzone z uwzględnieniem zasad dostępności, równości szans i niedyskryminacji, postępującej cyfryzacji i zielonego ładu. Podstawową formą informowania przez IZ/IP oraz przygotowania, produkcji, dystrybucji publikacji, materiałów promocyjnych i brandingowych, będzie forma cyfrowa. Wydruk materiałów informacyjnych i promocyjnych zostanie ograniczony do niezbędnego minimum, a zastosowane materiały będą w jak największym stopniu ekologiczne.</w:t>
      </w:r>
      <w:r>
        <w:br/>
        <w:t>Gadżety nie są narzędziem promocji FE</w:t>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 (DNSH).</w:t>
      </w:r>
      <w:r>
        <w:br/>
        <w:t>Beneficjentami Pomocy Technicznej w ramach  FEM 2021-2027 są:</w:t>
      </w:r>
      <w:r>
        <w:br/>
        <w:t>- Instytucja Zarządzająca,</w:t>
      </w:r>
      <w:r>
        <w:br/>
        <w:t>- Instytucje Pośredniczące: Wojewódzki Urząd Pracy w Warszawie, Mazowiecka Jednostka Wdrażania Programów Unijnych.</w:t>
      </w:r>
    </w:p>
    <w:p w14:paraId="46C59DB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640F1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72</w:t>
      </w:r>
    </w:p>
    <w:p w14:paraId="2484D63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71AB7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72</w:t>
      </w:r>
    </w:p>
    <w:p w14:paraId="76F7BF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97E1F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1681F65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2D3B5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EEE954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1E1AB4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497548A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3719B9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86AEE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93AA49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9C9F09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3202E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64A19C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71028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1EB658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EA342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4843295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394E3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pomoc_techniczna</w:t>
      </w:r>
    </w:p>
    <w:p w14:paraId="11DB9A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0CF5EF4" w14:textId="565D6883"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52" w:history="1">
        <w:r w:rsidRPr="005B2474">
          <w:rPr>
            <w:rStyle w:val="Hipercze"/>
          </w:rPr>
          <w:t>https://funduszeuedlamazowsza.eu/uchwaly-km-fem/</w:t>
        </w:r>
      </w:hyperlink>
    </w:p>
    <w:p w14:paraId="1E7A895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DF47CA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WLWK-PLRO158 - Liczba działań informacyjno-promocyjnych o szerokim zasięgu</w:t>
      </w:r>
    </w:p>
    <w:p w14:paraId="075E80D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WLWK-PLRO151 - Liczba przeprowadzonych ewaluacji</w:t>
      </w:r>
    </w:p>
    <w:p w14:paraId="4F8162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WLWK-PLRO150 - Liczba uczestników form szkoleniowych dla instytucji</w:t>
      </w:r>
    </w:p>
    <w:p w14:paraId="31B5D4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WLWK-PLRO149 - Średnioroczna liczba etatów finansowanych z Pomocy Technicznej</w:t>
      </w:r>
    </w:p>
    <w:p w14:paraId="279536C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262C5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4242D0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185122FD"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58" w:name="_Toc237348002"/>
      <w:r>
        <w:rPr>
          <w:rFonts w:ascii="Calibri" w:hAnsi="Calibri" w:cs="Calibri"/>
          <w:i w:val="0"/>
          <w:sz w:val="32"/>
        </w:rPr>
        <w:t>Priorytet FEMA.11 Pomoc techniczna (EFS+)</w:t>
      </w:r>
      <w:bookmarkEnd w:id="58"/>
    </w:p>
    <w:p w14:paraId="7BB807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5E0746B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5830392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4D0CD41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0030A70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6583C3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 - Pomoc Techniczna</w:t>
      </w:r>
    </w:p>
    <w:p w14:paraId="0AFD710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37E5811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7A972D7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14B9339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32 388 000,00</w:t>
      </w:r>
    </w:p>
    <w:p w14:paraId="1FFBC7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191979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23 931 945,00</w:t>
      </w:r>
    </w:p>
    <w:p w14:paraId="0169AE6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4E54C14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31,74</w:t>
      </w:r>
    </w:p>
    <w:p w14:paraId="248746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74B0A6D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68,26</w:t>
      </w:r>
    </w:p>
    <w:p w14:paraId="37FD16B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35E371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0742C7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3D9E902"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9" w:name="_Toc237348003"/>
      <w:r>
        <w:rPr>
          <w:rFonts w:ascii="Calibri" w:hAnsi="Calibri" w:cs="Calibri"/>
          <w:sz w:val="32"/>
        </w:rPr>
        <w:t>Działanie FEMA.11.01 Pomoc techniczna EFS+</w:t>
      </w:r>
      <w:bookmarkEnd w:id="59"/>
    </w:p>
    <w:p w14:paraId="29CCB22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CDBD73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PT.1 - Pomoc Techniczna</w:t>
      </w:r>
    </w:p>
    <w:p w14:paraId="08DB35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ogółem (EUR)</w:t>
      </w:r>
    </w:p>
    <w:p w14:paraId="5CAB48B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32 388 000,00</w:t>
      </w:r>
    </w:p>
    <w:p w14:paraId="3210A4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3964CF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23 931 945,00</w:t>
      </w:r>
    </w:p>
    <w:p w14:paraId="781345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64CA25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179 - Informacja i komunikacja, 180 - Przygotowanie, wdrażanie, monitorowanie i kontrola, 181 - Ewaluacja i badania, gromadzenie danych, 182 - Wzmocnienie potencjału instytucji państwa członkowskiego, beneficjentów i odpowiednich partnerów</w:t>
      </w:r>
    </w:p>
    <w:p w14:paraId="14FDD53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8E9ED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1.Wsparcie instytucji Programu w zarządzaniu zasobami ludzkimi (ZZL) i wzmocnienie ich potencjału administracyjnego.</w:t>
      </w:r>
      <w:r>
        <w:br/>
        <w:t>W ramach tego typu projektów będzie:</w:t>
      </w:r>
      <w:r>
        <w:br/>
        <w:t>•</w:t>
      </w:r>
      <w:r>
        <w:tab/>
        <w:t>utrzymywanie stabilnego poziomu zatrudnienia i zapobieganie fluktuacji wykwalifikowanego personelu poprzez zapewnienie przejrzystych ścieżek kariery i rozwoju kompetencji zawodowych, promowanie elastycznych form pracy,</w:t>
      </w:r>
      <w:r>
        <w:br/>
        <w:t>•</w:t>
      </w:r>
      <w:r>
        <w:tab/>
        <w:t>zapewnienie wykwalifikowanej kadry kierowniczej posiadającej wiedzę z zarzadzania zespołem, różnorodnością i przestrzeganie norm etycznych,</w:t>
      </w:r>
      <w:r>
        <w:br/>
        <w:t>•</w:t>
      </w:r>
      <w:r>
        <w:tab/>
        <w:t>podnoszenie poziomu wiedzy i kwalifikacji pracowników w zakresie wdrażania funduszy UE (zmniejszenie obciążeń administracyjnych, stosowanie zielonych i społecznych zamówień, ochrona bioróżnorodności, zasady horyzontalne), poprzez szkolenia dopasowane do potrzeb instytucji,</w:t>
      </w:r>
      <w:r>
        <w:br/>
        <w:t>•</w:t>
      </w:r>
      <w:r>
        <w:tab/>
        <w:t>utrzymywanie odpowiedniego zaplecza organizacyjnego, technicznego i administracyjnego.</w:t>
      </w:r>
      <w:r>
        <w:br/>
      </w:r>
      <w:r>
        <w:br/>
        <w:t>2.Wsparcie skutecznych procedur i procesów we wdrażaniu Programu.</w:t>
      </w:r>
      <w:r>
        <w:br/>
        <w:t>W ramach tego typu projektów będzie:</w:t>
      </w:r>
      <w:r>
        <w:br/>
        <w:t>•</w:t>
      </w:r>
      <w:r>
        <w:tab/>
        <w:t>stosowanie przejrzystego procesu zarządzania finansowego i kontroli w realizacji Programu (w tym zamknięcie perspektywy 2014-2020 oraz przygotowanie kolejnej po 2027 r.),</w:t>
      </w:r>
      <w:r>
        <w:br/>
        <w:t>•</w:t>
      </w:r>
      <w:r>
        <w:tab/>
        <w:t>finansowanie zadań IZ i IP, m.in. przygotowanie, programowanie, organizacja naborów, weryfikacja płatności, monitoring, ewaluacja, księgowanie wydatków, audyt i kontrola Programu (w tym funkcjonowanie KM), rozpatrywanie skarg i odwołań,</w:t>
      </w:r>
      <w:r>
        <w:br/>
        <w:t>•</w:t>
      </w:r>
      <w:r>
        <w:tab/>
        <w:t>utrzymywanie systemów IT z uwzględnieniem zasad dostępności cyfrowej,</w:t>
      </w:r>
      <w:r>
        <w:br/>
        <w:t>•</w:t>
      </w:r>
      <w:r>
        <w:tab/>
        <w:t>finansowanie analiz i studiów, ekspertyz i opinii prawnych, a także niezbędnych badań ewaluacyjnych,</w:t>
      </w:r>
      <w:r>
        <w:br/>
        <w:t>•</w:t>
      </w:r>
      <w:r>
        <w:tab/>
        <w:t>stosowanie przejrzystych i konkurencyjnych procesów zamówień publicznych z odpowiednimi systemami kontroli wewnętrznej:</w:t>
      </w:r>
      <w:r>
        <w:br/>
        <w:t xml:space="preserve">- strategiczne wykorzystanie zamówień publicznych do wspierania celów polityki spójności, stosowania kryteriów związanych z jakością i kosztami cyklu życia produktu i usług, ekologicznych, społecznych i innowacyjnych. Przy wyborze wykonawcy usług szkoleniowych będą stosowane kryteria wiedzy i </w:t>
      </w:r>
      <w:r>
        <w:lastRenderedPageBreak/>
        <w:t>doświadczenia w przedmiocie szkolenia,</w:t>
      </w:r>
      <w:r>
        <w:br/>
        <w:t>•</w:t>
      </w:r>
      <w:r>
        <w:tab/>
        <w:t>zapobieganie, wykrywanie, korygowanie i raportowanie w obszarze nieprawidłowości i nadużyć finansowych oraz korupcji. IZ będzie posiadać i stosować skuteczne i proporcjonalne środki i procedury zwalczania nadużyć finansowych, uwzględniające stwierdzone ryzyka, zgodnie z art. 74 ust. 1 lit. c) i lit. d) rozporządzenia ogólnego. Będą stosowane mechanizmy służące zwiększeniu przejrzystości, zaangażowaniu społeczeństwa obywatelskiego, organizacji typu watch-dog, ocenie ryzyka i działania edukacyjne. IZ zapewni takie działania zapobiegawcze jak:</w:t>
      </w:r>
      <w:r>
        <w:br/>
        <w:t>- zgłaszanie i aktualizowanie nieprawidłowości w systemie IMS, wzmocnienie procedur kontroli w celu unikania konfliktu interesów, np. zwiększenie przejrzystości łańcucha podwykonawców, uwzględniając weryfikację struktury właścicielskiej beneficjentów, wykonawców oraz ekspertów oceniających i nadzorujących projekty,</w:t>
      </w:r>
      <w:r>
        <w:br/>
        <w:t>- utworzenie systemu rejestracji i kontroli przy wyborze projektów dla zachowania ścieżki audytu,</w:t>
      </w:r>
      <w:r>
        <w:br/>
        <w:t>- utworzenie systemu rejestracji i kontroli przy wyborze projektów dla zachowania ścieżki audytu,</w:t>
      </w:r>
      <w:r>
        <w:br/>
        <w:t>- istnienie mechanizmu oznaczania i wykluczania z dofinansowania osób/podmiotów stanowiących zagrożenie dla interesów UE,</w:t>
      </w:r>
      <w:r>
        <w:br/>
        <w:t>- uwzględnienie nowych ryzyk, np. związanych ze zmianą zasad wydatkowania funduszy UE,</w:t>
      </w:r>
      <w:r>
        <w:br/>
        <w:t>- wykorzystanie dostępnych narzędzi data mining, typu Arachne lub podobnego oraz narzędzi mających na celu wykrywanie podejrzeń nadużyć finansowych, plagiatu,</w:t>
      </w:r>
      <w:r>
        <w:br/>
        <w:t xml:space="preserve"> - promowanie paktów na rzecz uczciwości</w:t>
      </w:r>
      <w:r>
        <w:br/>
        <w:t>3.Wsparcie funkcjonowania komitetów, grup roboczych i doradczych, partnerów.</w:t>
      </w:r>
      <w:r>
        <w:br/>
        <w:t>W ramach tego typu projektów będzie:</w:t>
      </w:r>
      <w:r>
        <w:br/>
        <w:t>•</w:t>
      </w:r>
      <w:r>
        <w:tab/>
        <w:t>obsługa prac KM i grup roboczych powoływanych przez KM, w tym Grupy Roboczej ds. monitorowania zasad horyzontalnych, w skład której wejdą przedstawiciele organizacji społecznych zrzeszających osoby z grup narażonych na dyskryminację lub zajmujących się równouprawnieniem danej grupy, a także wsparcie grup doradczych zaangażowanych we wdrażanie Programu, w tym członków KM reprezentujących partnerów oraz społeczeństwo obywatelskie (art. 8 ust. 1 Rozporządzenia ogólnego).</w:t>
      </w:r>
      <w:r>
        <w:br/>
        <w:t>•</w:t>
      </w:r>
      <w:r>
        <w:tab/>
        <w:t>powołanie Koordynatora ds. Równości i Niedyskryminacji, wspieranie i zwiększenie jego roli we wdrażaniu Programu,</w:t>
      </w:r>
      <w:r>
        <w:br/>
        <w:t>•</w:t>
      </w:r>
      <w:r>
        <w:tab/>
        <w:t>pomoc w realizacji zasad horyzontalnych, ze szczególnym uwzględnieniem barier i potrzeb osób z grup narażonych na dyskryminację, m.in. ekspertyzy, szkolenia i konferencje tematyczne, materiały informacyjno-edukacyjne, a także audyt istniejących rozwiązań i ocena ich skuteczności dla wypracowania narzędzi i mechanizmów wdrażania horyzontalnych zasad równego traktowania, niedyskryminacji i poszanowania KPP.</w:t>
      </w:r>
      <w:r>
        <w:br/>
        <w:t>4. Wzmocnienie beneficjentów i potencjalnych beneficjentów programu.</w:t>
      </w:r>
      <w:r>
        <w:br/>
        <w:t>W ramach tego typu projektów będzie:</w:t>
      </w:r>
      <w:r>
        <w:br/>
        <w:t>•</w:t>
      </w:r>
      <w:r>
        <w:tab/>
        <w:t>rozwój kompetencji niezbędnych do skutecznego aplikowania o fundusze UE, prowadzenia i rozliczania projektów, m.in. organizowanie szkoleń, usług doradczych, konsultacji i spotkań informacyjnych, które będą dopasowane do potrzeb beneficjentów, w tym pomoc w dostosowaniu działań do założeń Europejskiego Zielonego Ładu i  DNSH;</w:t>
      </w:r>
      <w:r>
        <w:br/>
        <w:t>•</w:t>
      </w:r>
      <w:r>
        <w:tab/>
        <w:t>pomoc w wymianie doświadczeń i najlepszych praktyk w zakresie przygotowania i wdrażania projektów;</w:t>
      </w:r>
      <w:r>
        <w:br/>
        <w:t>•</w:t>
      </w:r>
      <w:r>
        <w:tab/>
        <w:t xml:space="preserve">podnoszenie wiedzy na temat wdrażania zasad horyzontalnych w realizowanych projektach, </w:t>
      </w:r>
      <w:r>
        <w:lastRenderedPageBreak/>
        <w:t>szczególnie dla kadry w instytucjach z obszaru edukacji, zdrowia i pomocy społecznej w zakresie przeciwdziałania i zwalczania dyskryminacji osób i grup narażonych/dyskryminowanych.</w:t>
      </w:r>
      <w:r>
        <w:br/>
      </w:r>
      <w:r>
        <w:br/>
        <w:t>5.Budowanie potencjału interesariuszy poprzez wsparcie efektywnego zarzadzanie procesem przedsiębiorczego odkrywania w ramach inteligentnej specjalizacji województwa mazowieckiego.</w:t>
      </w:r>
      <w:r>
        <w:br/>
        <w:t xml:space="preserve">W ramach tego typu projektów będzie  wsparcie PPO w zakresie wzmocnienia zdolności interesariuszy, które są niezbędne do efektywnego administrowania i wykorzystania funduszy w CS 1(iii): </w:t>
      </w:r>
      <w:r>
        <w:br/>
        <w:t>•</w:t>
      </w:r>
      <w:r>
        <w:tab/>
        <w:t xml:space="preserve">szkolenia, pomoc ekspercka, konsulting i doradztwo, działania informacyjne i promocyjne dotyczące RIS, w tym opracowanie, utrzymanie i aktualizacja strony internetowej, </w:t>
      </w:r>
      <w:r>
        <w:br/>
        <w:t>•</w:t>
      </w:r>
      <w:r>
        <w:tab/>
        <w:t xml:space="preserve">wsparcie budowania zdolności interesariuszy w zakresie podnoszenia ich wiedzy na temat rozwoju umiejętności na rzecz RIS, transformacji przemysłowej, przedsiębiorczości i zdolności przedsiębiorstw dostosowania się do zmian oraz w zakresie monitoringu ewaluacji i aktualizacji dokumentów (w tym strategicznych) związanych z RIS.  </w:t>
      </w:r>
      <w:r>
        <w:br/>
        <w:t>W przypadku, gdy środki z PT okażą się niewystarczające, IZ będzie mogła podjąć decyzję o wykorzystaniu zapisów art. 37 rozporządzenia 2021/1061 lub zapisów art. 3.4 rozporządzenia 2021/1058.</w:t>
      </w:r>
      <w:r>
        <w:br/>
        <w:t>6.Skuteczna i efektywna informacja i promocja FEM 2021-2027</w:t>
      </w:r>
      <w:r>
        <w:br/>
        <w:t>W ramach tego typu projektów będzie:</w:t>
      </w:r>
      <w:r>
        <w:br/>
        <w:t>•</w:t>
      </w:r>
      <w:r>
        <w:tab/>
        <w:t>utrzymanie portali internetowych poświęconych wdrażaniu projektów FEM 2021-2027 (w tym programów z poprzednich perspektyw i planów po 2027 r.),</w:t>
      </w:r>
      <w:r>
        <w:br/>
        <w:t>•</w:t>
      </w:r>
      <w:r>
        <w:tab/>
        <w:t>udostępnienie informacji przedstawiających korzyści z FEM 2021-2027 oraz Funduszy UE dla regionu,</w:t>
      </w:r>
      <w:r>
        <w:br/>
        <w:t>•</w:t>
      </w:r>
      <w:r>
        <w:tab/>
        <w:t>zapewnienie popularyzacji funduszy europejskich, przekazywanie informacji o adresach stron www i w mediach społecznościowych m. in.  materiały promocyjne trafiające do jak największej liczby odbiorców oraz zachęcanie do pozyskiwania informacji i korzystania z FE (wybór produktów i środków będzie dostosowany do charakteru organizowanego wydarzenia oraz rozwiązań ekologicznych),</w:t>
      </w:r>
      <w:r>
        <w:br/>
        <w:t>•</w:t>
      </w:r>
      <w:r>
        <w:tab/>
        <w:t>zapewnienie przestrzegania postanowień KPP oraz prawidłowej realizacji zasad horyzontalnych przez IZ/IP/beneficjentów, (wsparcia eksperckie, szkolenia i konferencje tematyczne) Spójność systemu informacji i komunikacji Programu, w tym wizualizacji marki FE, działań podejmowanych przez IZ/IP, szczegółowy opis określany będzie w Strategii komunikacji FEM 2021-2027 i rocznych planach działań.</w:t>
      </w:r>
      <w:r>
        <w:br/>
        <w:t>Działania komunikacyjne będą prowadzone z uwzględnieniem zasad dostępności, równości szans i niedyskryminacji, postępującej cyfryzacji i zielonego ładu. Podstawową formą informowania przez IZ/IP oraz przygotowania, produkcji, dystrybucji publikacji, materiałów promocyjnych i brandingowych, będzie forma cyfrowa. Wydruk materiałów informacyjnych i promocyjnych zostanie ograniczony do niezbędnego minimum, a zastosowane materiały będą w jak największym stopniu ekologiczne.</w:t>
      </w:r>
      <w:r>
        <w:br/>
        <w:t>Gadżety nie są narzędziem promocji FE.</w:t>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 (DNSH).</w:t>
      </w:r>
      <w:r>
        <w:br/>
      </w:r>
      <w:r>
        <w:lastRenderedPageBreak/>
        <w:t>Beneficjentami Pomocy Technicznej w ramach  FEM 2021-2027 są:</w:t>
      </w:r>
      <w:r>
        <w:br/>
        <w:t>- Instytucja Zarządzająca,</w:t>
      </w:r>
      <w:r>
        <w:br/>
        <w:t xml:space="preserve">- Instytucje Pośredniczące: Wojewódzki Urząd Pracy w Warszawie, Mazowiecka Jednostka Wdrażania Programów Unijnych. </w:t>
      </w:r>
    </w:p>
    <w:p w14:paraId="713CF9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B2DD3F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72</w:t>
      </w:r>
    </w:p>
    <w:p w14:paraId="382932C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F8CB3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72</w:t>
      </w:r>
    </w:p>
    <w:p w14:paraId="73DFBCE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95EC50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73B998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22D825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16EDF1F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1693B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7D0CEC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3E5293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96B44C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633959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A3A0E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05168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1E1926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5E9F8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C012FF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498EEF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4A145F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A9A256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pomoc_techniczna</w:t>
      </w:r>
    </w:p>
    <w:p w14:paraId="5699E5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9001D49" w14:textId="4332C416" w:rsidR="008C42CA" w:rsidRDefault="00692017">
      <w:pPr>
        <w:pBdr>
          <w:top w:val="single" w:sz="4" w:space="2" w:color="auto"/>
          <w:left w:val="single" w:sz="4" w:space="4" w:color="auto"/>
          <w:bottom w:val="single" w:sz="4" w:space="2" w:color="auto"/>
          <w:right w:val="single" w:sz="4" w:space="4" w:color="auto"/>
          <w:between w:val="single" w:sz="4" w:space="2" w:color="auto"/>
        </w:pBdr>
        <w:spacing w:after="0"/>
      </w:pPr>
      <w:hyperlink r:id="rId53" w:history="1">
        <w:r w:rsidRPr="005B2474">
          <w:rPr>
            <w:rStyle w:val="Hipercze"/>
          </w:rPr>
          <w:t>https://funduszeuedlamazowsza.eu/uchwaly-km-fem/</w:t>
        </w:r>
      </w:hyperlink>
    </w:p>
    <w:p w14:paraId="44705BD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257F937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WLWK-PLRO158 - Liczba działań informacyjno-promocyjnych o szerokim zasięgu</w:t>
      </w:r>
    </w:p>
    <w:p w14:paraId="2A49A9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WLWK-PLRO151 - Liczba przeprowadzonych ewaluacji</w:t>
      </w:r>
    </w:p>
    <w:p w14:paraId="6702234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WLWK-PLRO150 - Liczba uczestników form szkoleniowych dla instytucji</w:t>
      </w:r>
    </w:p>
    <w:p w14:paraId="5811718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WLWK-PLRO149 - Średnioroczna liczba etatów finansowanych z Pomocy Technicznej</w:t>
      </w:r>
    </w:p>
    <w:p w14:paraId="303C39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17ABDB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2CCBBC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1F024071"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60" w:name="_Toc237348004"/>
      <w:r>
        <w:rPr>
          <w:rFonts w:ascii="Calibri" w:hAnsi="Calibri" w:cs="Calibri"/>
          <w:i w:val="0"/>
          <w:sz w:val="32"/>
        </w:rPr>
        <w:t>Priorytet FEMA.12 STEP na Mazowszu</w:t>
      </w:r>
      <w:bookmarkEnd w:id="60"/>
    </w:p>
    <w:p w14:paraId="346EEA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1E2019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507618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5D96B55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79B70E4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7EABFE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CP1 - Bardziej konkurencyjna i inteligentna Europa dzięki wspieraniu innowacyjnej i inteligentnej transformacji gospodarczej oraz regionalnej łączności cyfrowej</w:t>
      </w:r>
    </w:p>
    <w:p w14:paraId="2745E7A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3FD46B4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532531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54FA345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46 100 000,00</w:t>
      </w:r>
    </w:p>
    <w:p w14:paraId="1DB680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7D778C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46 100 000,00</w:t>
      </w:r>
    </w:p>
    <w:p w14:paraId="6E4440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4B6AC1C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24,32</w:t>
      </w:r>
    </w:p>
    <w:p w14:paraId="59986B9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4765906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75,68</w:t>
      </w:r>
    </w:p>
    <w:p w14:paraId="1E625B0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3E4ABC3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42344F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lastRenderedPageBreak/>
        <w:t>Kod i nazwa działania</w:t>
      </w:r>
    </w:p>
    <w:p w14:paraId="6818F63E"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1" w:name="_Toc237348005"/>
      <w:r>
        <w:rPr>
          <w:rFonts w:ascii="Calibri" w:hAnsi="Calibri" w:cs="Calibri"/>
          <w:sz w:val="32"/>
        </w:rPr>
        <w:t>Działanie FEMA.12.01 STEP dla rozwoju biotechnologii</w:t>
      </w:r>
      <w:bookmarkEnd w:id="61"/>
    </w:p>
    <w:p w14:paraId="20AB8BC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01F2B2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EFRR.CP1.VI - Wspieranie inwestycji przyczyniających się do realizacji celów Platformy na rzecz Technologii Strategicznych dla Europy (STEP), o których mowa w art. 2 rozporządzenia Parlamentu Europejskiego i Rady (UE) 2024/795</w:t>
      </w:r>
    </w:p>
    <w:p w14:paraId="76C7AF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6595E9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431A08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58B4291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46 100 000,00</w:t>
      </w:r>
    </w:p>
    <w:p w14:paraId="1298A0E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460D5E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46 100 000,00</w:t>
      </w:r>
    </w:p>
    <w:p w14:paraId="11FB6DB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5ACDB0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004 - Inwestycje w środki trwałe, w tym infrastrukturę badawczą, w publicznych organizacjach badawczych i instytucjach szkolnictwa wyższego bezpośrednio związane z działaniami badawczymi i innowacyjnymi, 012 - Działania badawcze i innowacyjne w publicznych organizacjach badawczych, instytucjach szkolnictwa wyższego i ośrodkach kompetencji, w tym tworzenie sieci kontaktów (badania przemysłowe, eksperymentalne prace rozwojowe, studia wykonalności), 190 - Inwestycje produkcyjne w duże przedsiębiorstwa związane głównie z biotechnologiami</w:t>
      </w:r>
    </w:p>
    <w:p w14:paraId="035C45D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5EFDA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Opracowanie nowej metody leczenia choroby Parkinsona (projekt niekonkurencyjny);</w:t>
      </w:r>
      <w:r>
        <w:br/>
        <w:t>2.</w:t>
      </w:r>
      <w:r>
        <w:tab/>
        <w:t>Rozwój terapii genowych (projekty wybierane w sposób konkurencyjny).</w:t>
      </w:r>
      <w:r>
        <w:br/>
        <w:t>Typ projektu: Opracowanie nowej metody leczenia choroby Parkinsona obejmuje projekt realizujący cele STEP, ukierunkowany na wspieranie rozwoju lub wytwarzania technologii krytycznych dla całej UE w sektorze biotechnologii, w tym metod i produktów leczniczych znajdujących się w unijnym wykazie produktów leczniczych o krytycznym znaczeniu i ich składników. Działanie obejmuje badania służące opracowaniu nowych metod leczenia z wykorzystaniem terapii genowej mózgu, w szczególności opracowania nowej technologii medycznej do leczenia choroby Parkinsona. Inwestycja nie tylko wnosi na rynek wewnętrzny innowacyjny, najnowocześniejszy i przełomowy element o znaczącym potencjale gospodarczym, ale też przyczyni się do ograniczenia strategicznej zależności UE. Technologia będzie opracowywana w Mazowieckim Szpitalu Bródnowskim w Warszawie.</w:t>
      </w:r>
      <w:r>
        <w:br/>
        <w:t xml:space="preserve">W odniesieniu do wspieranego przedsięwzięcia zastosowanie będą mieć następujące zasady: </w:t>
      </w:r>
      <w:r>
        <w:tab/>
      </w:r>
      <w:r>
        <w:br/>
        <w:t>•</w:t>
      </w:r>
      <w:r>
        <w:tab/>
        <w:t xml:space="preserve">projekt realizuje cel STEP - wspieranie rozwoju lub wytwarzania technologii krytycznych w całej </w:t>
      </w:r>
      <w:r>
        <w:lastRenderedPageBreak/>
        <w:t>Unii lub ochrona i wzmacnianie ich odpowiednich łańcuchów wartości w sektorze: biotechnologie, w tym produkty lecznicze znajdujące się w unijnym wykazie produktów leczniczych o krytycznym znaczeniu i ich składniki,</w:t>
      </w:r>
      <w:r>
        <w:br/>
        <w:t>•</w:t>
      </w:r>
      <w:r>
        <w:tab/>
        <w:t>projekt znajduje się na poziomie dojrzałości technologicznej co najmniej TRL4,</w:t>
      </w:r>
      <w:r>
        <w:br/>
        <w:t>•</w:t>
      </w:r>
      <w:r>
        <w:tab/>
        <w:t>w wyniku prowadzonych w projekcie badań może zostać opracowana nowa technologia medyczna,</w:t>
      </w:r>
      <w:r>
        <w:br/>
        <w:t>•</w:t>
      </w:r>
      <w:r>
        <w:tab/>
        <w:t xml:space="preserve">projekt zakłada, że wyniki eksperymentu medycznego lub nowa technologia medyczna zostaną udostępnione ośrodkom medycznym na zasadach niekomercyjnych, </w:t>
      </w:r>
      <w:r>
        <w:br/>
        <w:t>•</w:t>
      </w:r>
      <w:r>
        <w:tab/>
        <w:t>możliwy jest zakup lub leasing niezbędnej aparatury i oprogramowania wykorzystywanych w powyższych procedurach, wraz z konieczną adaptacją pomieszczeń, kluczowych dla rozwoju technologii medycznych objętych projektem,</w:t>
      </w:r>
      <w:r>
        <w:br/>
        <w:t>•</w:t>
      </w:r>
      <w:r>
        <w:tab/>
        <w:t>inwestycje w medyczną infrastrukturę badawczą będą uzasadnione celami projektu,</w:t>
      </w:r>
      <w:r>
        <w:br/>
        <w:t>•</w:t>
      </w:r>
      <w:r>
        <w:tab/>
        <w:t xml:space="preserve">projekt obejmuje szerokie rozpowszechnianie wyników badań (konferencje, streamingi itp.). </w:t>
      </w:r>
      <w:r>
        <w:br/>
        <w:t>W typie projektu: Rozwój terapii genowych realizowane będą projekty przyczyniające się do rozwoju i zwiększenia dostępności terapii genowych w regionie oraz uniezależnienie od ośrodków zewnętrznych poprzez m.in.:</w:t>
      </w:r>
      <w:r>
        <w:br/>
        <w:t>•</w:t>
      </w:r>
      <w:r>
        <w:tab/>
        <w:t xml:space="preserve">uruchomienie lub rozwój produkcji kopii genów lub wektorów wirusowych, </w:t>
      </w:r>
      <w:r>
        <w:br/>
        <w:t>•</w:t>
      </w:r>
      <w:r>
        <w:tab/>
        <w:t xml:space="preserve">usprawnienie procesu produkcji i dostosowanie go do wymagań dobrej praktyki produkcyjnej, </w:t>
      </w:r>
      <w:r>
        <w:br/>
        <w:t>•</w:t>
      </w:r>
      <w:r>
        <w:tab/>
        <w:t xml:space="preserve">rozwój systemów niezbędnych do wdrożenia zaawansowanych terapii, </w:t>
      </w:r>
      <w:r>
        <w:br/>
        <w:t>•</w:t>
      </w:r>
      <w:r>
        <w:tab/>
        <w:t xml:space="preserve">opracowanie i integracja technologii oraz uruchomienie instalacji wykorzystywanych w terapiach genowych, </w:t>
      </w:r>
      <w:r>
        <w:br/>
        <w:t>•</w:t>
      </w:r>
      <w:r>
        <w:tab/>
        <w:t xml:space="preserve">obniżenia kosztów terapii, </w:t>
      </w:r>
      <w:r>
        <w:br/>
        <w:t>•</w:t>
      </w:r>
      <w:r>
        <w:tab/>
        <w:t xml:space="preserve">wzmocnienie zaplecza badawczego regionu. </w:t>
      </w:r>
      <w:r>
        <w:br/>
        <w:t xml:space="preserve">Wspierane będą przedsięwzięcia obejmujące utworzenie/rozwój ośrodków/laboratoriów badawczych lub rozwój produkcji elementów wykorzystywanych w terapiach genowych, również z niezbędną rozbudową/przystosowaniem pomieszczeń bezpośrednio wykorzystywanych do prowadzenia prac. Przewiduje się realizację projektów przyczyniających się do produkcji materiałów niedostępnych „od ręki”, które muszą być obecnie zamawiane w odległych ośrodkach poza Europą lub nielicznych funkcjonujących w Europie, takie jak kopie genów lub wektory wirusowe. </w:t>
      </w:r>
      <w:r>
        <w:br/>
        <w:t>Zakup infrastruktury i wyposażenia będzie możliwy wyłącznie jako usługi powiązane, które są kluczowe i specyficzne dla rozwoju lub wytwarzania biotechnologii objętych STEP. W przypadku, gdy dominującym zakresem wsparcia będzie infrastruktura B+R publicznych organizacji badawczych, zastosowanie będzie miał warunek określony w Umowie Partnerstwa oraz określony w art. 8 ust. 2 Kontraktu Programowego dla Województwa Mazowieckiego, zgodnie z którym przed przyznaniem wsparcia przedsięwzięcie musi zostać pozytywnie zaopiniowane przez Ministra Funduszy i Polityki Regionalnej, z udziałem ministra właściwego do spraw szkolnictwa wyższego i nauki.</w:t>
      </w:r>
      <w:r>
        <w:br/>
      </w:r>
      <w:r>
        <w:br/>
        <w:t>Dofinansowane projekty będą zgodne z art. 9 rozporządzenia ogólnego,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r>
      <w:r>
        <w:lastRenderedPageBreak/>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tab/>
      </w:r>
      <w:r>
        <w:br/>
        <w:t>•</w:t>
      </w:r>
      <w:r>
        <w:tab/>
        <w:t>w regionie Mazowieckim regionalnym – 100%,</w:t>
      </w:r>
      <w:r>
        <w:br/>
        <w:t>•</w:t>
      </w:r>
      <w:r>
        <w:tab/>
        <w:t>w regionie Warszawskim stołecznym – 100%.</w:t>
      </w:r>
    </w:p>
    <w:p w14:paraId="5DA0AC8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807147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42AA56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BC385F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36F74F2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8A4D07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14:paraId="75DDD5F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A657CA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17 kwietnia 2024 r. w sprawie udzielania pomocy de minimis w ramach regionalnych programów na lata 2021–2027 (Dz.U. 2024 poz. 598), Rozporządzenie Ministra Funduszy i Polityki Regionalnej z dnia 29 listopada 2022 r. w sprawie udzielania pomocy inwestycyjnej na infrastrukturę badawczą w ramach regionalnych programów na lata 2021–2027 (Dz.U. 2022 poz. 2498), Rozporządzenie Ministra Funduszy i Polityki Regionalnej z dnia 29 listopada 2022 r. w sprawie udzielania pomocy na badania przemysłowe, eksperymentalne prace rozwojowe oraz studia wykonalności w ramach regionalnych programów na lata 2021–2027 (Dz.U. 2022 poz. 2573)</w:t>
      </w:r>
    </w:p>
    <w:p w14:paraId="026C077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567DA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15% stawka ryczałtowa na koszty pośrednie (podstawa wyliczenia: koszty bezpośrednie personelu) [art. 54(b) CPR], do 7% stawka ryczałtowa na koszty pośrednie (podstawa wyliczenia: koszty bezpośrednie) [art. 54(a) CPR]</w:t>
      </w:r>
    </w:p>
    <w:p w14:paraId="7C30219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D854A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D79AC0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1FC972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E459E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Minimalny wkład własny beneficjenta</w:t>
      </w:r>
    </w:p>
    <w:p w14:paraId="1FEFBBE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B0753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32B4C8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5F233E3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617A5B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43D4B7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E8553A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 Instytucje ochrony zdrowia, Partnerstwa</w:t>
      </w:r>
    </w:p>
    <w:p w14:paraId="4BE7CAD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165DA6C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badawcze, Publiczne zakłady opieki zdrowotnej</w:t>
      </w:r>
    </w:p>
    <w:p w14:paraId="21D2C4E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DD8B1C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 badania, badania_i_rozwój, infrastruktura_badawcza, terapie_genowe, wektory_wirusowe</w:t>
      </w:r>
    </w:p>
    <w:p w14:paraId="6D27F8C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180B973" w14:textId="3884BB1B" w:rsidR="008C42CA" w:rsidRDefault="005E3DDA">
      <w:pPr>
        <w:pBdr>
          <w:top w:val="single" w:sz="4" w:space="2" w:color="auto"/>
          <w:left w:val="single" w:sz="4" w:space="4" w:color="auto"/>
          <w:bottom w:val="single" w:sz="4" w:space="2" w:color="auto"/>
          <w:right w:val="single" w:sz="4" w:space="4" w:color="auto"/>
          <w:between w:val="single" w:sz="4" w:space="2" w:color="auto"/>
        </w:pBdr>
        <w:spacing w:after="0"/>
      </w:pPr>
      <w:hyperlink r:id="rId54" w:history="1">
        <w:r w:rsidRPr="005B2474">
          <w:rPr>
            <w:rStyle w:val="Hipercze"/>
          </w:rPr>
          <w:t>https://funduszeuedlamazowsza.eu/uchwaly-km-fem/</w:t>
        </w:r>
      </w:hyperlink>
    </w:p>
    <w:p w14:paraId="325736B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6D9C3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WLWK-PLRO007 - Liczba realizowanych projektów B+R</w:t>
      </w:r>
    </w:p>
    <w:p w14:paraId="7B2CC20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7F1BCA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WLWK-PLRO005 - Liczba wspartych laboratoriów badawczych</w:t>
      </w:r>
    </w:p>
    <w:p w14:paraId="683E03A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WLWK-PLRO290 - Liczba wydarzeń dotyczących szerokiego upowszechnienia przeprowadzanych badań klinicznych lub eksperymentów medycznych oraz ich wyników </w:t>
      </w:r>
    </w:p>
    <w:p w14:paraId="2E204BF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WLWK-RCO006 - Naukowcy pracujący we wspieranych obiektach badawczych</w:t>
      </w:r>
    </w:p>
    <w:p w14:paraId="280FBC3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WLWK-RCO008 - Nominalna wartość sprzętu na potrzeby badań naukowych i innowacji</w:t>
      </w:r>
    </w:p>
    <w:p w14:paraId="7EB56B1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WLWK-PLRO301 - Organizacje badawcze otrzymujące wsparcie na opracowywanie usług, produktów i procesów biotechnologicznych</w:t>
      </w:r>
    </w:p>
    <w:p w14:paraId="10DB3A8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WLWK-RCO007 - Organizacje badawcze uczestniczące we wspólnych projektach badawczych</w:t>
      </w:r>
    </w:p>
    <w:p w14:paraId="45607A8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214A273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WLWK-RCO127 - Przedsiębiorstwa objęte wsparciem związane głównie z inwestycjami produkcyjnymi w zakresie biotechnologii</w:t>
      </w:r>
    </w:p>
    <w:p w14:paraId="34CF91C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WLWK-RCO010 - Przedsiębiorstwa współpracujące z organizacjami badawczymi</w:t>
      </w:r>
    </w:p>
    <w:p w14:paraId="1A18FBA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B7B068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WLWK-PLRR116 - Liczba pacjentów objętych badaniami klinicznymi lub eksperymentami medycznymi </w:t>
      </w:r>
    </w:p>
    <w:p w14:paraId="49B5CF6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WLWK-PLRR006 - Liczba wdrożonych wyników prac B+R</w:t>
      </w:r>
    </w:p>
    <w:p w14:paraId="5EE3111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WLWK-PLRR029 - Liczba wprowadzonych innowacji procesowych</w:t>
      </w:r>
    </w:p>
    <w:p w14:paraId="481280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WLWK-PLRR028 - Liczba wprowadzonych innowacji produktowych</w:t>
      </w:r>
    </w:p>
    <w:p w14:paraId="08E4518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WLWK-RCR008 - Publikacje w ramach wspieranych projektów</w:t>
      </w:r>
    </w:p>
    <w:p w14:paraId="3A196B96"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7C4119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WLWK-RCR006 - Złożone wnioski patentowe</w:t>
      </w:r>
    </w:p>
    <w:p w14:paraId="6878824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722B7D71" w14:textId="77777777" w:rsidR="008C42CA" w:rsidRDefault="00EA73AD">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62" w:name="_Toc237348006"/>
      <w:r>
        <w:rPr>
          <w:rFonts w:ascii="Calibri" w:hAnsi="Calibri" w:cs="Calibri"/>
          <w:i w:val="0"/>
          <w:sz w:val="32"/>
        </w:rPr>
        <w:t>Priorytet FEMA.13 Fundusze Europejskie dla rozwoju umiejętności w dziedzinie gotowości cywilnej Mazowsza</w:t>
      </w:r>
      <w:bookmarkEnd w:id="62"/>
    </w:p>
    <w:p w14:paraId="09783E1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64F3549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660038C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319039E3"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0509876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599BDD9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4B9006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6F563BE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5A442FB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4E70E1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27 452 106,00</w:t>
      </w:r>
    </w:p>
    <w:p w14:paraId="2F14724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3E71EE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22 184 000,00</w:t>
      </w:r>
    </w:p>
    <w:p w14:paraId="33C57EA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3A97922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40,54</w:t>
      </w:r>
    </w:p>
    <w:p w14:paraId="63CF77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2935C62E"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59,46</w:t>
      </w:r>
    </w:p>
    <w:p w14:paraId="0F00A05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2613E3F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41DB4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lastRenderedPageBreak/>
        <w:t>Kod i nazwa działania</w:t>
      </w:r>
    </w:p>
    <w:p w14:paraId="629EB14D" w14:textId="77777777" w:rsidR="008C42CA" w:rsidRDefault="00EA73AD">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3" w:name="_Toc237348007"/>
      <w:r>
        <w:rPr>
          <w:rFonts w:ascii="Calibri" w:hAnsi="Calibri" w:cs="Calibri"/>
          <w:sz w:val="32"/>
        </w:rPr>
        <w:t>Działanie FEMA.13.01 Gotowość cywilna mieszkańców</w:t>
      </w:r>
      <w:bookmarkEnd w:id="63"/>
    </w:p>
    <w:p w14:paraId="7D04C7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B6CA5C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522118E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AC59D6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6A3359F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F0E6C3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27 452 106,00</w:t>
      </w:r>
    </w:p>
    <w:p w14:paraId="775B130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BF626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22 184 000,00</w:t>
      </w:r>
    </w:p>
    <w:p w14:paraId="2D3FFFE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B4833F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6BFEE47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C8FC9F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Typ projektu: Rozwój umiejętności i wzrost bezpieczeństwa mieszkańców Mazowsza </w:t>
      </w:r>
      <w:r>
        <w:br/>
        <w:t>Wsparciem  objęte będą przedsięwzięcia mające na celu zwiększenie bezpieczeństwa i odporności społecznej w regionie poprzez m.in.:</w:t>
      </w:r>
      <w:r>
        <w:br/>
        <w:t>1. rozwój umiejętności mieszkańców w zakresie gotowości cywilnej - przygotowanie ludności do właściwego zachowania się w sytuacji wystąpienia zagrożenia,</w:t>
      </w:r>
      <w:r>
        <w:br/>
        <w:t>2. podniesienie kompetencji w zakresie cyberbezpieczeństwa, umiejętności weryfikowania rzetelności informacji oraz uważności na możliwe cyberzagrożenia w codziennym życiu.</w:t>
      </w:r>
      <w:r>
        <w:br/>
        <w:t>W odniesieniu do przedsięwzięć wspieranych w ramach ww. działań zastosowanie będą obowiązywały następujące zasady:</w:t>
      </w:r>
      <w:r>
        <w:br/>
        <w:t>1. Zakres wsparcia obejmie formy podnoszenia umiejętności najbardziej adekwatne dla poszczególnych grup mieszkańców zgodnie z ich zdiagnozowanymi potrzebami oraz zapewnienie wyposażenia niezbędnego do przeprowadzenia szkoleń.</w:t>
      </w:r>
      <w:r>
        <w:br/>
        <w:t xml:space="preserve">2. Zakres wsparcia obejmuje wyłącznie zagadnienie związane z gotowością cywilną i ochroną ludności np. system ochrony ludności, struktury odpowiedzialne, współpraca i zasady działania, charakterystyka współczesnych zagrożeń, zarządzanie sytuacją kryzysową, pierwsza pomoc w sytuacjach zagrożenia, systemy ostrzegania i alarmowania, cyberbezpieczeństwo i dezinformacja, itp. </w:t>
      </w:r>
      <w:r>
        <w:br/>
        <w:t xml:space="preserve">3. Wsparcie nie będzie powielało działań realizowanych na poziomie krajowym w ramach FERS i FERC. </w:t>
      </w:r>
      <w:r>
        <w:br/>
      </w:r>
      <w:r>
        <w:lastRenderedPageBreak/>
        <w:t>4. Działania będą realizowane poza systemem PSF.</w:t>
      </w:r>
      <w:r>
        <w:br/>
        <w:t xml:space="preserve">5. Działania realizowane będą zgodnie z: </w:t>
      </w:r>
      <w:r>
        <w:br/>
        <w:t xml:space="preserve">1) Rozporządzeniem ogólnym i Rozporządzeniem EFS+ </w:t>
      </w:r>
      <w:r>
        <w:br/>
        <w:t xml:space="preserve">2) Ustawą o zasadach realizacji zadań finansowanych ze środków europejskich w perspektywie finansowej 2021–2027 z 28.04.2022 r. ze zm. </w:t>
      </w:r>
      <w:r>
        <w:br/>
        <w:t xml:space="preserve">3) Ustawą z dnia 5 grudnia 2024 r. o ochronie ludności i obronie cywilnej </w:t>
      </w:r>
      <w:r>
        <w:br/>
        <w:t>4) Wytycznymi na lata 2021-2027 dotyczącymi:</w:t>
      </w:r>
      <w:r>
        <w:br/>
        <w:t>- kwalifikowalności wydatków,</w:t>
      </w:r>
      <w:r>
        <w:br/>
        <w:t>- realizacji projektów z udziałem środków EFS+ w regionalnych programach,</w:t>
      </w:r>
      <w:r>
        <w:br/>
        <w:t>- realizacji zasad równościowych w ramach funduszy unijnych,</w:t>
      </w:r>
      <w:r>
        <w:br/>
        <w:t>- wyboru projektów,</w:t>
      </w:r>
      <w:r>
        <w:br/>
        <w:t>- informacji i promocji Funduszy Europejskich.</w:t>
      </w:r>
    </w:p>
    <w:p w14:paraId="234360F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AEAEC7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17DA4A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C22B9B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3B3C796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A0A33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Komisji (UE) 2023/2831 z dnia 13 grudnia 2023 r. w sprawie stosowania art. 107 i 108 Traktatu o funkcjonowaniu Unii Europejskiej do pomocy de minimis (Dz. Urz. UE L z 15.12.2023)</w:t>
      </w:r>
    </w:p>
    <w:p w14:paraId="14768D8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31F13C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p w14:paraId="7A46C6E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84997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14:paraId="0A4BFF1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0860740"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0D0D95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772E0C0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3C9088A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FD7C20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zgodnie z regulaminem naboru</w:t>
      </w:r>
    </w:p>
    <w:p w14:paraId="633BE321"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B855F9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16B15F0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D975F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331779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BC637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Przedsiębiorstwa</w:t>
      </w:r>
    </w:p>
    <w:p w14:paraId="3E4ADF5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9670A4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kompetencje, kształcenie_dorosłych, kurs, szkolenia</w:t>
      </w:r>
    </w:p>
    <w:p w14:paraId="6101774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0495E1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Mid caps, Mikro, Small mid caps, Średnie</w:t>
      </w:r>
    </w:p>
    <w:p w14:paraId="69AC8CB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BA07227" w14:textId="1F6397DC" w:rsidR="008C42CA" w:rsidRDefault="005E3DDA">
      <w:pPr>
        <w:pBdr>
          <w:top w:val="single" w:sz="4" w:space="2" w:color="auto"/>
          <w:left w:val="single" w:sz="4" w:space="4" w:color="auto"/>
          <w:bottom w:val="single" w:sz="4" w:space="2" w:color="auto"/>
          <w:right w:val="single" w:sz="4" w:space="4" w:color="auto"/>
          <w:between w:val="single" w:sz="4" w:space="2" w:color="auto"/>
        </w:pBdr>
        <w:spacing w:after="0"/>
      </w:pPr>
      <w:hyperlink r:id="rId55" w:history="1">
        <w:r w:rsidRPr="005B2474">
          <w:rPr>
            <w:rStyle w:val="Hipercze"/>
          </w:rPr>
          <w:t>https://funduszeuedlamazowsza.eu/uchwaly-km-fem/</w:t>
        </w:r>
      </w:hyperlink>
    </w:p>
    <w:p w14:paraId="7547F1D2"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414F33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12C32414"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634BD55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6F44BF79"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WLWK-PLAGO01 - Liczba osób objętych wsparciem w dziedzinie gotowości cywilnej, w przemyśle obronnym lub dziedzinie cyberbezpieczeństwa</w:t>
      </w:r>
    </w:p>
    <w:p w14:paraId="3B7286BC"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33A7A4D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416C0EC5"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697F71A8"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59382EEB"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B6CD4FF"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WLWK-PLAGCR01 - Liczba osób, które podniosły umiejętności, lub kompetencje lub nabyły kwalifikacje w dziedzinie gotowości cywilnej, w przemyśle obronnym lub dziedzinie cyberbezpieczeństwa</w:t>
      </w:r>
    </w:p>
    <w:p w14:paraId="79341C7D"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5F35F027"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334AF50A" w14:textId="77777777" w:rsidR="008C42CA" w:rsidRDefault="00EA73AD">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WLWK-PLDGCR04 - Liczba osób, które uzyskały zielone kwalifikacje po opuszczeniu programu</w:t>
      </w:r>
    </w:p>
    <w:sectPr w:rsidR="008C42CA">
      <w:footerReference w:type="default" r:id="rId5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7B11" w14:textId="77777777" w:rsidR="00DB217B" w:rsidRDefault="00DB217B">
      <w:pPr>
        <w:spacing w:after="0" w:line="240" w:lineRule="auto"/>
      </w:pPr>
      <w:r>
        <w:separator/>
      </w:r>
    </w:p>
  </w:endnote>
  <w:endnote w:type="continuationSeparator" w:id="0">
    <w:p w14:paraId="3F9B2417" w14:textId="77777777" w:rsidR="00DB217B" w:rsidRDefault="00DB2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10E0" w14:textId="77777777" w:rsidR="008C42CA" w:rsidRDefault="00EA73AD">
    <w:pPr>
      <w:jc w:val="right"/>
    </w:pPr>
    <w:r>
      <w:fldChar w:fldCharType="begin"/>
    </w:r>
    <w:r>
      <w:instrText>PAGE</w:instrText>
    </w:r>
    <w:r>
      <w:fldChar w:fldCharType="separate"/>
    </w:r>
    <w:r w:rsidR="005B42F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90AA8" w14:textId="77777777" w:rsidR="00DB217B" w:rsidRDefault="00DB217B">
      <w:pPr>
        <w:spacing w:after="0" w:line="240" w:lineRule="auto"/>
      </w:pPr>
      <w:r>
        <w:separator/>
      </w:r>
    </w:p>
  </w:footnote>
  <w:footnote w:type="continuationSeparator" w:id="0">
    <w:p w14:paraId="2EC53201" w14:textId="77777777" w:rsidR="00DB217B" w:rsidRDefault="00DB21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CA"/>
    <w:rsid w:val="000B6791"/>
    <w:rsid w:val="00321191"/>
    <w:rsid w:val="004114AA"/>
    <w:rsid w:val="00476954"/>
    <w:rsid w:val="00530BE4"/>
    <w:rsid w:val="005B42FE"/>
    <w:rsid w:val="005E3DDA"/>
    <w:rsid w:val="00692017"/>
    <w:rsid w:val="006E610C"/>
    <w:rsid w:val="008C42CA"/>
    <w:rsid w:val="00A123CE"/>
    <w:rsid w:val="00B057DB"/>
    <w:rsid w:val="00B243E9"/>
    <w:rsid w:val="00BE5864"/>
    <w:rsid w:val="00CE7060"/>
    <w:rsid w:val="00DB217B"/>
    <w:rsid w:val="00DD0B30"/>
    <w:rsid w:val="00EA73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A39A6"/>
  <w15:docId w15:val="{808D2D5E-CFD6-4051-97F7-757AA279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Calibri"/>
        <w:sz w:val="22"/>
        <w:lang w:val="pl-PL" w:eastAsia="pl-PL" w:bidi="ar-SA"/>
      </w:rPr>
    </w:rPrDefault>
    <w:pPrDefault>
      <w:pPr>
        <w:spacing w:after="1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pPr>
  </w:style>
  <w:style w:type="paragraph" w:styleId="Nagwek1">
    <w:name w:val="heading 1"/>
    <w:basedOn w:val="Normalny"/>
    <w:next w:val="Normalny"/>
    <w:link w:val="Nagwek1Znak"/>
    <w:uiPriority w:val="9"/>
    <w:qFormat/>
    <w:pPr>
      <w:keepNext/>
      <w:keepLines/>
      <w:spacing w:before="240" w:after="0"/>
      <w:outlineLvl w:val="0"/>
    </w:pPr>
    <w:rPr>
      <w:rFonts w:asciiTheme="majorHAnsi" w:hAnsiTheme="majorHAnsi" w:cs="Calibri Light"/>
      <w:color w:val="2F5496" w:themeColor="accent1" w:themeShade="BF"/>
      <w:sz w:val="32"/>
    </w:rPr>
  </w:style>
  <w:style w:type="paragraph" w:styleId="Nagwek2">
    <w:name w:val="heading 2"/>
    <w:basedOn w:val="Normalny"/>
    <w:next w:val="Normalny"/>
    <w:link w:val="Nagwek2Znak"/>
    <w:uiPriority w:val="9"/>
    <w:unhideWhenUsed/>
    <w:qFormat/>
    <w:pPr>
      <w:keepNext/>
      <w:spacing w:before="240" w:after="60"/>
      <w:outlineLvl w:val="1"/>
    </w:pPr>
    <w:rPr>
      <w:rFonts w:ascii="Calibri Light" w:hAnsi="Calibri Light" w:cs="Calibri Light"/>
      <w:b/>
      <w:i/>
      <w:sz w:val="28"/>
    </w:rPr>
  </w:style>
  <w:style w:type="paragraph" w:styleId="Nagwek3">
    <w:name w:val="heading 3"/>
    <w:basedOn w:val="Normalny"/>
    <w:next w:val="Normalny"/>
    <w:link w:val="Nagwek3Znak"/>
    <w:uiPriority w:val="9"/>
    <w:unhideWhenUsed/>
    <w:qFormat/>
    <w:pPr>
      <w:keepNext/>
      <w:spacing w:before="240" w:after="60"/>
      <w:outlineLvl w:val="2"/>
    </w:pPr>
    <w:rPr>
      <w:rFonts w:ascii="Calibri Light" w:hAnsi="Calibri Light" w:cs="Calibri Light"/>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character" w:styleId="Odwoaniedokomentarza">
    <w:name w:val="annotation reference"/>
    <w:uiPriority w:val="99"/>
    <w:rPr>
      <w:sz w:val="16"/>
    </w:rPr>
  </w:style>
  <w:style w:type="paragraph" w:styleId="Tekstkomentarza">
    <w:name w:val="annotation text"/>
    <w:basedOn w:val="Normalny"/>
    <w:link w:val="TekstkomentarzaZnak"/>
    <w:uiPriority w:val="99"/>
    <w:rPr>
      <w:sz w:val="20"/>
    </w:rPr>
  </w:style>
  <w:style w:type="character" w:customStyle="1" w:styleId="TekstkomentarzaZnak">
    <w:name w:val="Tekst komentarza Znak"/>
    <w:link w:val="Tekstkomentarza"/>
    <w:uiPriority w:val="99"/>
  </w:style>
  <w:style w:type="paragraph" w:styleId="Tematkomentarza">
    <w:name w:val="annotation subject"/>
    <w:basedOn w:val="Tekstkomentarza"/>
    <w:next w:val="Tekstkomentarza"/>
    <w:link w:val="TematkomentarzaZnak"/>
    <w:uiPriority w:val="99"/>
    <w:rPr>
      <w:b/>
    </w:rPr>
  </w:style>
  <w:style w:type="character" w:customStyle="1" w:styleId="TematkomentarzaZnak">
    <w:name w:val="Temat komentarza Znak"/>
    <w:link w:val="Tematkomentarza"/>
    <w:uiPriority w:val="99"/>
    <w:rPr>
      <w:b/>
    </w:rPr>
  </w:style>
  <w:style w:type="paragraph" w:styleId="Tekstdymka">
    <w:name w:val="Balloon Text"/>
    <w:basedOn w:val="Normalny"/>
    <w:link w:val="TekstdymkaZnak"/>
    <w:uiPriority w:val="99"/>
    <w:pPr>
      <w:spacing w:after="0" w:line="240" w:lineRule="auto"/>
    </w:pPr>
    <w:rPr>
      <w:rFonts w:ascii="Tahoma" w:hAnsi="Tahoma" w:cs="Tahoma"/>
      <w:sz w:val="16"/>
    </w:rPr>
  </w:style>
  <w:style w:type="character" w:customStyle="1" w:styleId="TekstdymkaZnak">
    <w:name w:val="Tekst dymka Znak"/>
    <w:link w:val="Tekstdymka"/>
    <w:uiPriority w:val="99"/>
    <w:rPr>
      <w:rFonts w:ascii="Tahoma" w:hAnsi="Tahoma" w:cs="Tahoma"/>
      <w:sz w:val="16"/>
    </w:rPr>
  </w:style>
  <w:style w:type="character" w:customStyle="1" w:styleId="Nagwek1Znak">
    <w:name w:val="Nagłówek 1 Znak"/>
    <w:basedOn w:val="Domylnaczcionkaakapitu"/>
    <w:link w:val="Nagwek1"/>
    <w:uiPriority w:val="9"/>
    <w:rPr>
      <w:rFonts w:asciiTheme="majorHAnsi" w:hAnsiTheme="majorHAnsi" w:cs="Calibri Light"/>
      <w:color w:val="2F5496" w:themeColor="accent1" w:themeShade="BF"/>
      <w:sz w:val="32"/>
    </w:rPr>
  </w:style>
  <w:style w:type="paragraph" w:styleId="Nagwekspisutreci">
    <w:name w:val="TOC Heading"/>
    <w:basedOn w:val="Nagwek1"/>
    <w:next w:val="Normalny"/>
    <w:uiPriority w:val="39"/>
    <w:qFormat/>
    <w:pPr>
      <w:spacing w:line="259" w:lineRule="auto"/>
      <w:outlineLvl w:val="9"/>
    </w:pPr>
    <w:rPr>
      <w:rFonts w:ascii="Calibri Light" w:hAnsi="Calibri Light"/>
      <w:color w:val="2E74B5"/>
    </w:rPr>
  </w:style>
  <w:style w:type="paragraph" w:styleId="Spistreci1">
    <w:name w:val="toc 1"/>
    <w:basedOn w:val="Normalny"/>
    <w:next w:val="Normalny"/>
    <w:uiPriority w:val="39"/>
    <w:rPr>
      <w:sz w:val="28"/>
    </w:rPr>
  </w:style>
  <w:style w:type="paragraph" w:styleId="Spistreci2">
    <w:name w:val="toc 2"/>
    <w:basedOn w:val="Normalny"/>
    <w:next w:val="Normalny"/>
    <w:uiPriority w:val="39"/>
    <w:pPr>
      <w:ind w:left="220"/>
    </w:pPr>
    <w:rPr>
      <w:sz w:val="28"/>
    </w:rPr>
  </w:style>
  <w:style w:type="character" w:styleId="Hipercze">
    <w:name w:val="Hyperlink"/>
    <w:uiPriority w:val="99"/>
    <w:rPr>
      <w:color w:val="0563C1"/>
      <w:u w:val="single"/>
    </w:rPr>
  </w:style>
  <w:style w:type="paragraph" w:styleId="Spistreci3">
    <w:name w:val="toc 3"/>
    <w:basedOn w:val="Normalny"/>
    <w:next w:val="Normalny"/>
    <w:uiPriority w:val="39"/>
    <w:pPr>
      <w:spacing w:after="100"/>
      <w:ind w:left="440"/>
    </w:pPr>
    <w:rPr>
      <w:sz w:val="28"/>
    </w:rPr>
  </w:style>
  <w:style w:type="character" w:customStyle="1" w:styleId="Nagwek2Znak">
    <w:name w:val="Nagłówek 2 Znak"/>
    <w:link w:val="Nagwek2"/>
    <w:uiPriority w:val="9"/>
    <w:rPr>
      <w:rFonts w:ascii="Calibri Light" w:hAnsi="Calibri Light" w:cs="Calibri Light"/>
      <w:b/>
      <w:i/>
      <w:sz w:val="28"/>
    </w:rPr>
  </w:style>
  <w:style w:type="character" w:customStyle="1" w:styleId="Nagwek3Znak">
    <w:name w:val="Nagłówek 3 Znak"/>
    <w:link w:val="Nagwek3"/>
    <w:uiPriority w:val="9"/>
    <w:rPr>
      <w:rFonts w:ascii="Calibri Light" w:hAnsi="Calibri Light" w:cs="Calibri Light"/>
      <w:b/>
      <w:sz w:val="26"/>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692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funduszeuedlamazowsza.eu/uchwaly-km-fem/" TargetMode="External"/><Relationship Id="rId18" Type="http://schemas.openxmlformats.org/officeDocument/2006/relationships/hyperlink" Target="https://funduszeuedlamazowsza.eu/uchwaly-km-fem/" TargetMode="External"/><Relationship Id="rId26" Type="http://schemas.openxmlformats.org/officeDocument/2006/relationships/hyperlink" Target="https://funduszeuedlamazowsza.eu/uchwaly-km-fem/" TargetMode="External"/><Relationship Id="rId39" Type="http://schemas.openxmlformats.org/officeDocument/2006/relationships/hyperlink" Target="https://funduszeuedlamazowsza.eu/uchwaly-km-fem/" TargetMode="External"/><Relationship Id="rId21" Type="http://schemas.openxmlformats.org/officeDocument/2006/relationships/hyperlink" Target="https://funduszeuedlamazowsza.eu/uchwaly-km-fem/" TargetMode="External"/><Relationship Id="rId34" Type="http://schemas.openxmlformats.org/officeDocument/2006/relationships/hyperlink" Target="https://funduszeuedlamazowsza.eu/uchwaly-km-fem/" TargetMode="External"/><Relationship Id="rId42" Type="http://schemas.openxmlformats.org/officeDocument/2006/relationships/hyperlink" Target="https://funduszeuedlamazowsza.eu/uchwaly-km-fem/" TargetMode="External"/><Relationship Id="rId47" Type="http://schemas.openxmlformats.org/officeDocument/2006/relationships/hyperlink" Target="https://funduszeuedlamazowsza.eu/uchwaly-km-fem/" TargetMode="External"/><Relationship Id="rId50" Type="http://schemas.openxmlformats.org/officeDocument/2006/relationships/hyperlink" Target="https://funduszeuedlamazowsza.eu/uchwaly-km-fem/" TargetMode="External"/><Relationship Id="rId55" Type="http://schemas.openxmlformats.org/officeDocument/2006/relationships/hyperlink" Target="https://funduszeuedlamazowsza.eu/uchwaly-km-fem/" TargetMode="External"/><Relationship Id="rId7" Type="http://schemas.openxmlformats.org/officeDocument/2006/relationships/hyperlink" Target="https://funduszeuedlamazowsza.eu/uchwaly-km-fem/" TargetMode="External"/><Relationship Id="rId2" Type="http://schemas.openxmlformats.org/officeDocument/2006/relationships/settings" Target="settings.xml"/><Relationship Id="rId16" Type="http://schemas.openxmlformats.org/officeDocument/2006/relationships/hyperlink" Target="https://funduszeuedlamazowsza.eu/uchwaly-km-fem/" TargetMode="External"/><Relationship Id="rId29" Type="http://schemas.openxmlformats.org/officeDocument/2006/relationships/hyperlink" Target="https://funduszeuedlamazowsza.eu/uchwaly-km-fem/" TargetMode="External"/><Relationship Id="rId11" Type="http://schemas.openxmlformats.org/officeDocument/2006/relationships/hyperlink" Target="https://funduszeuedlamazowsza.eu/uchwaly-km-fem/" TargetMode="External"/><Relationship Id="rId24" Type="http://schemas.openxmlformats.org/officeDocument/2006/relationships/hyperlink" Target="https://funduszeuedlamazowsza.eu/uchwaly-km-fem/" TargetMode="External"/><Relationship Id="rId32" Type="http://schemas.openxmlformats.org/officeDocument/2006/relationships/hyperlink" Target="https://funduszeuedlamazowsza.eu/uchwaly-km-fem/" TargetMode="External"/><Relationship Id="rId37" Type="http://schemas.openxmlformats.org/officeDocument/2006/relationships/hyperlink" Target="https://funduszeuedlamazowsza.eu/uchwaly-km-fem/" TargetMode="External"/><Relationship Id="rId40" Type="http://schemas.openxmlformats.org/officeDocument/2006/relationships/hyperlink" Target="https://funduszeuedlamazowsza.eu/uchwaly-km-fem/" TargetMode="External"/><Relationship Id="rId45" Type="http://schemas.openxmlformats.org/officeDocument/2006/relationships/hyperlink" Target="https://funduszeuedlamazowsza.eu/uchwaly-km-fem/" TargetMode="External"/><Relationship Id="rId53" Type="http://schemas.openxmlformats.org/officeDocument/2006/relationships/hyperlink" Target="https://funduszeuedlamazowsza.eu/uchwaly-km-fem/" TargetMode="External"/><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hyperlink" Target="https://funduszeuedlamazowsza.eu/uchwaly-km-fem/" TargetMode="External"/><Relationship Id="rId4" Type="http://schemas.openxmlformats.org/officeDocument/2006/relationships/footnotes" Target="footnotes.xml"/><Relationship Id="rId9" Type="http://schemas.openxmlformats.org/officeDocument/2006/relationships/hyperlink" Target="https://funduszeuedlamazowsza.eu/uchwaly-km-fem/" TargetMode="External"/><Relationship Id="rId14" Type="http://schemas.openxmlformats.org/officeDocument/2006/relationships/hyperlink" Target="https://funduszeuedlamazowsza.eu/uchwaly-km-fem/" TargetMode="External"/><Relationship Id="rId22" Type="http://schemas.openxmlformats.org/officeDocument/2006/relationships/hyperlink" Target="https://funduszeuedlamazowsza.eu/uchwaly-km-fem/" TargetMode="External"/><Relationship Id="rId27" Type="http://schemas.openxmlformats.org/officeDocument/2006/relationships/hyperlink" Target="https://funduszeuedlamazowsza.eu/uchwaly-km-fem/" TargetMode="External"/><Relationship Id="rId30" Type="http://schemas.openxmlformats.org/officeDocument/2006/relationships/hyperlink" Target="https://funduszeuedlamazowsza.eu/uchwaly-km-fem/" TargetMode="External"/><Relationship Id="rId35" Type="http://schemas.openxmlformats.org/officeDocument/2006/relationships/hyperlink" Target="https://funduszeuedlamazowsza.eu/uchwaly-km-fem/" TargetMode="External"/><Relationship Id="rId43" Type="http://schemas.openxmlformats.org/officeDocument/2006/relationships/hyperlink" Target="https://funduszeuedlamazowsza.eu/uchwaly-km-fem/" TargetMode="External"/><Relationship Id="rId48" Type="http://schemas.openxmlformats.org/officeDocument/2006/relationships/hyperlink" Target="https://funduszeuedlamazowsza.eu/uchwaly-km-fem/" TargetMode="External"/><Relationship Id="rId56" Type="http://schemas.openxmlformats.org/officeDocument/2006/relationships/footer" Target="footer1.xml"/><Relationship Id="rId8" Type="http://schemas.openxmlformats.org/officeDocument/2006/relationships/hyperlink" Target="https://funduszeuedlamazowsza.eu/uchwaly-km-fem/" TargetMode="External"/><Relationship Id="rId51" Type="http://schemas.openxmlformats.org/officeDocument/2006/relationships/hyperlink" Target="https://funduszeuedlamazowsza.eu/uchwaly-km-fem/" TargetMode="External"/><Relationship Id="rId3" Type="http://schemas.openxmlformats.org/officeDocument/2006/relationships/webSettings" Target="webSettings.xml"/><Relationship Id="rId12" Type="http://schemas.openxmlformats.org/officeDocument/2006/relationships/hyperlink" Target="https://funduszeuedlamazowsza.eu/uchwaly-km-fem/" TargetMode="External"/><Relationship Id="rId17" Type="http://schemas.openxmlformats.org/officeDocument/2006/relationships/hyperlink" Target="https://funduszeuedlamazowsza.eu/uchwaly-km-fem/" TargetMode="External"/><Relationship Id="rId25" Type="http://schemas.openxmlformats.org/officeDocument/2006/relationships/hyperlink" Target="https://funduszeuedlamazowsza.eu/uchwaly-km-fem/" TargetMode="External"/><Relationship Id="rId33" Type="http://schemas.openxmlformats.org/officeDocument/2006/relationships/hyperlink" Target="https://funduszeuedlamazowsza.eu/uchwaly-km-fem/" TargetMode="External"/><Relationship Id="rId38" Type="http://schemas.openxmlformats.org/officeDocument/2006/relationships/hyperlink" Target="https://funduszeuedlamazowsza.eu/uchwaly-km-fem/" TargetMode="External"/><Relationship Id="rId46" Type="http://schemas.openxmlformats.org/officeDocument/2006/relationships/hyperlink" Target="https://funduszeuedlamazowsza.eu/uchwaly-km-fem/" TargetMode="External"/><Relationship Id="rId20" Type="http://schemas.openxmlformats.org/officeDocument/2006/relationships/hyperlink" Target="https://funduszeuedlamazowsza.eu/uchwaly-km-fem/" TargetMode="External"/><Relationship Id="rId41" Type="http://schemas.openxmlformats.org/officeDocument/2006/relationships/hyperlink" Target="https://funduszeuedlamazowsza.eu/uchwaly-km-fem/" TargetMode="External"/><Relationship Id="rId54" Type="http://schemas.openxmlformats.org/officeDocument/2006/relationships/hyperlink" Target="https://funduszeuedlamazowsza.eu/uchwaly-km-fem/" TargetMode="External"/><Relationship Id="rId1" Type="http://schemas.openxmlformats.org/officeDocument/2006/relationships/styles" Target="styles.xml"/><Relationship Id="rId6" Type="http://schemas.openxmlformats.org/officeDocument/2006/relationships/image" Target="media/image1.jpg"/><Relationship Id="rId15" Type="http://schemas.openxmlformats.org/officeDocument/2006/relationships/hyperlink" Target="https://funduszeuedlamazowsza.eu/uchwaly-km-fem/" TargetMode="External"/><Relationship Id="rId23" Type="http://schemas.openxmlformats.org/officeDocument/2006/relationships/hyperlink" Target="https://funduszeuedlamazowsza.eu/uchwaly-km-fem/" TargetMode="External"/><Relationship Id="rId28" Type="http://schemas.openxmlformats.org/officeDocument/2006/relationships/hyperlink" Target="https://funduszeuedlamazowsza.eu/uchwaly-km-fem/" TargetMode="External"/><Relationship Id="rId36" Type="http://schemas.openxmlformats.org/officeDocument/2006/relationships/hyperlink" Target="https://funduszeuedlamazowsza.eu/uchwaly-km-fem/" TargetMode="External"/><Relationship Id="rId49" Type="http://schemas.openxmlformats.org/officeDocument/2006/relationships/hyperlink" Target="https://funduszeuedlamazowsza.eu/uchwaly-km-fem/" TargetMode="External"/><Relationship Id="rId57" Type="http://schemas.openxmlformats.org/officeDocument/2006/relationships/fontTable" Target="fontTable.xml"/><Relationship Id="rId10" Type="http://schemas.openxmlformats.org/officeDocument/2006/relationships/hyperlink" Target="https://funduszeuedlamazowsza.eu/uchwaly-km-fem/" TargetMode="External"/><Relationship Id="rId31" Type="http://schemas.openxmlformats.org/officeDocument/2006/relationships/hyperlink" Target="https://funduszeuedlamazowsza.eu/uchwaly-km-fem/" TargetMode="External"/><Relationship Id="rId44" Type="http://schemas.openxmlformats.org/officeDocument/2006/relationships/hyperlink" Target="https://funduszeuedlamazowsza.eu/uchwaly-km-fem/" TargetMode="External"/><Relationship Id="rId52" Type="http://schemas.openxmlformats.org/officeDocument/2006/relationships/hyperlink" Target="https://funduszeuedlamazowsza.eu/uchwaly-km-fem/" TargetMode="Externa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248</Pages>
  <Words>77036</Words>
  <Characters>462222</Characters>
  <Application>Microsoft Office Word</Application>
  <DocSecurity>0</DocSecurity>
  <Lines>3851</Lines>
  <Paragraphs>1076</Paragraphs>
  <ScaleCrop>false</ScaleCrop>
  <Company>UMWM</Company>
  <LinksUpToDate>false</LinksUpToDate>
  <CharactersWithSpaces>538182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Regeńczuk Eliza</dc:creator>
  <cp:lastModifiedBy>Baranowska Renata</cp:lastModifiedBy>
  <cp:revision>7</cp:revision>
  <dcterms:created xsi:type="dcterms:W3CDTF">2026-08-11T11:40:00Z</dcterms:created>
  <dcterms:modified xsi:type="dcterms:W3CDTF">2026-08-25T08:25:00Z</dcterms:modified>
</cp:coreProperties>
</file>