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80912" w14:textId="77777777" w:rsidR="000B195F" w:rsidRDefault="000B195F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bookmarkStart w:id="0" w:name="_GoBack"/>
      <w:bookmarkEnd w:id="0"/>
    </w:p>
    <w:p w14:paraId="7B728C85" w14:textId="79A58E6B" w:rsidR="00422B17" w:rsidRPr="000B195F" w:rsidRDefault="00D80597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6"/>
          <w:szCs w:val="36"/>
        </w:rPr>
      </w:pPr>
      <w:r w:rsidRPr="000B195F">
        <w:rPr>
          <w:rFonts w:cs="Arial"/>
          <w:b/>
          <w:color w:val="000000"/>
          <w:sz w:val="36"/>
          <w:szCs w:val="36"/>
        </w:rPr>
        <w:t>Wskazania do Studium Wykonalności</w:t>
      </w:r>
    </w:p>
    <w:p w14:paraId="4C7297EA" w14:textId="7A2BD7B8" w:rsidR="00422B17" w:rsidRPr="000B195F" w:rsidRDefault="062311CA" w:rsidP="00E27555">
      <w:pPr>
        <w:autoSpaceDE w:val="0"/>
        <w:autoSpaceDN w:val="0"/>
        <w:adjustRightInd w:val="0"/>
        <w:spacing w:after="0" w:line="360" w:lineRule="auto"/>
        <w:rPr>
          <w:rFonts w:cs="Calibri"/>
          <w:sz w:val="36"/>
          <w:szCs w:val="36"/>
        </w:rPr>
      </w:pPr>
      <w:r w:rsidRPr="000B195F">
        <w:rPr>
          <w:rFonts w:cs="Arial"/>
          <w:b/>
          <w:bCs/>
          <w:color w:val="000000" w:themeColor="text1"/>
          <w:sz w:val="36"/>
          <w:szCs w:val="36"/>
        </w:rPr>
        <w:t>stanowiącego załącznik do wniosku o dofinansowanie projektu</w:t>
      </w:r>
      <w:r w:rsidR="0085381D" w:rsidRPr="000B195F">
        <w:rPr>
          <w:rFonts w:cs="Arial"/>
          <w:b/>
          <w:bCs/>
          <w:color w:val="000000" w:themeColor="text1"/>
          <w:sz w:val="36"/>
          <w:szCs w:val="36"/>
        </w:rPr>
        <w:t xml:space="preserve"> </w:t>
      </w:r>
      <w:r w:rsidR="00AB75CC" w:rsidRPr="000B195F">
        <w:rPr>
          <w:rStyle w:val="normaltextrun"/>
          <w:rFonts w:cs="Calibri"/>
          <w:b/>
          <w:bCs/>
          <w:sz w:val="36"/>
          <w:szCs w:val="36"/>
        </w:rPr>
        <w:t>realizowanego w programie</w:t>
      </w:r>
      <w:r w:rsidR="00E27555">
        <w:rPr>
          <w:rStyle w:val="normaltextrun"/>
          <w:rFonts w:cs="Calibri"/>
          <w:b/>
          <w:bCs/>
          <w:sz w:val="36"/>
          <w:szCs w:val="36"/>
        </w:rPr>
        <w:t xml:space="preserve"> </w:t>
      </w:r>
      <w:r w:rsidR="00422B17" w:rsidRPr="000B195F">
        <w:rPr>
          <w:rStyle w:val="normaltextrun"/>
          <w:rFonts w:cs="Calibri"/>
          <w:b/>
          <w:bCs/>
          <w:sz w:val="36"/>
          <w:szCs w:val="36"/>
        </w:rPr>
        <w:t>Fundusze Europejskie dla Mazowsza 2021-2027</w:t>
      </w:r>
    </w:p>
    <w:p w14:paraId="633AC086" w14:textId="479E13D0" w:rsidR="00422B17" w:rsidRPr="000B195F" w:rsidRDefault="00422B17" w:rsidP="00F43F08">
      <w:pPr>
        <w:pStyle w:val="paragraph"/>
        <w:textAlignment w:val="baseline"/>
        <w:rPr>
          <w:rFonts w:ascii="Calibri" w:hAnsi="Calibri" w:cs="Calibri"/>
          <w:b/>
          <w:bCs/>
          <w:sz w:val="36"/>
          <w:szCs w:val="36"/>
        </w:rPr>
      </w:pPr>
    </w:p>
    <w:p w14:paraId="10B46566" w14:textId="44899136" w:rsidR="000B195F" w:rsidRPr="000B195F" w:rsidRDefault="00422B17" w:rsidP="000B195F">
      <w:pPr>
        <w:pStyle w:val="Default"/>
        <w:spacing w:line="276" w:lineRule="auto"/>
        <w:rPr>
          <w:b/>
          <w:sz w:val="36"/>
          <w:szCs w:val="36"/>
        </w:rPr>
      </w:pPr>
      <w:r w:rsidRPr="000B195F">
        <w:rPr>
          <w:rStyle w:val="normaltextrun"/>
          <w:b/>
          <w:bCs/>
          <w:sz w:val="36"/>
          <w:szCs w:val="36"/>
        </w:rPr>
        <w:t>Działanie</w:t>
      </w:r>
      <w:r w:rsidR="000B195F">
        <w:rPr>
          <w:rStyle w:val="normaltextrun"/>
          <w:b/>
          <w:bCs/>
          <w:sz w:val="36"/>
          <w:szCs w:val="36"/>
        </w:rPr>
        <w:t xml:space="preserve">: </w:t>
      </w:r>
      <w:r w:rsidR="000B195F" w:rsidRPr="000B195F">
        <w:rPr>
          <w:rFonts w:eastAsia="Arial Unicode MS"/>
          <w:b/>
          <w:bCs/>
          <w:sz w:val="36"/>
          <w:szCs w:val="36"/>
        </w:rPr>
        <w:t>4.1 Transport regionalny i lokalny</w:t>
      </w:r>
    </w:p>
    <w:p w14:paraId="676ABB03" w14:textId="4187B044" w:rsidR="00422B17" w:rsidRPr="00E27555" w:rsidRDefault="000B195F" w:rsidP="001F4DE1">
      <w:pPr>
        <w:pStyle w:val="paragraph"/>
        <w:spacing w:line="360" w:lineRule="auto"/>
        <w:textAlignment w:val="baseline"/>
        <w:rPr>
          <w:rFonts w:ascii="Calibri" w:hAnsi="Calibri" w:cs="Calibri"/>
          <w:sz w:val="36"/>
          <w:szCs w:val="36"/>
        </w:rPr>
      </w:pPr>
      <w:r w:rsidRPr="00E27555">
        <w:rPr>
          <w:rFonts w:ascii="Calibri" w:eastAsia="Arial Unicode MS" w:hAnsi="Calibri" w:cs="Calibri"/>
          <w:b/>
          <w:bCs/>
          <w:sz w:val="36"/>
          <w:szCs w:val="36"/>
        </w:rPr>
        <w:t xml:space="preserve">Typ projektu: </w:t>
      </w:r>
      <w:r w:rsidR="00E27555" w:rsidRPr="00E27555">
        <w:rPr>
          <w:rFonts w:asciiTheme="minorHAnsi" w:eastAsia="Arial Unicode MS" w:hAnsiTheme="minorHAnsi" w:cstheme="minorHAnsi"/>
          <w:b/>
          <w:bCs/>
          <w:sz w:val="36"/>
          <w:szCs w:val="36"/>
        </w:rPr>
        <w:t>Budowa i przebudowa dróg wojewódzkich, poprawiających dostępność do sieci TEN-T, obwodnic odciążających miasta od ruchu samochodowego, w</w:t>
      </w:r>
      <w:r w:rsidR="00E27555">
        <w:rPr>
          <w:rFonts w:asciiTheme="minorHAnsi" w:eastAsia="Arial Unicode MS" w:hAnsiTheme="minorHAnsi" w:cstheme="minorHAnsi"/>
          <w:b/>
          <w:bCs/>
          <w:sz w:val="36"/>
          <w:szCs w:val="36"/>
        </w:rPr>
        <w:t> </w:t>
      </w:r>
      <w:r w:rsidR="00E27555" w:rsidRPr="00E27555">
        <w:rPr>
          <w:rFonts w:asciiTheme="minorHAnsi" w:eastAsia="Arial Unicode MS" w:hAnsiTheme="minorHAnsi" w:cstheme="minorHAnsi"/>
          <w:b/>
          <w:bCs/>
          <w:sz w:val="36"/>
          <w:szCs w:val="36"/>
        </w:rPr>
        <w:t>szczególności tranzytowego, w tym inwestycje na rzecz poprawy bezpieczeństwa na tych drogach</w:t>
      </w:r>
    </w:p>
    <w:p w14:paraId="5DDBAAC6" w14:textId="77777777" w:rsidR="00E27555" w:rsidRPr="00E27555" w:rsidRDefault="000B195F" w:rsidP="00E27555">
      <w:pPr>
        <w:rPr>
          <w:rFonts w:cs="Calibri"/>
          <w:noProof/>
          <w:sz w:val="36"/>
          <w:szCs w:val="36"/>
        </w:rPr>
      </w:pPr>
      <w:bookmarkStart w:id="1" w:name="_Hlk148957170"/>
      <w:r w:rsidRPr="00E27555">
        <w:rPr>
          <w:rFonts w:eastAsia="Calibri" w:cs="Calibri"/>
          <w:b/>
          <w:bCs/>
          <w:sz w:val="36"/>
          <w:szCs w:val="36"/>
        </w:rPr>
        <w:t xml:space="preserve">Tytuł projektu: </w:t>
      </w:r>
      <w:r w:rsidR="00E27555" w:rsidRPr="00E27555">
        <w:rPr>
          <w:rFonts w:cs="Calibri"/>
          <w:b/>
          <w:sz w:val="36"/>
          <w:szCs w:val="36"/>
        </w:rPr>
        <w:t>Budowa zachodniej obwodnicy Mławy – odcinek między ulicą Gdyńską a nowoprojektowaną drogą krajową S7</w:t>
      </w:r>
    </w:p>
    <w:bookmarkEnd w:id="1"/>
    <w:p w14:paraId="6354BE34" w14:textId="1ED745ED" w:rsidR="00F43F08" w:rsidRPr="000B195F" w:rsidRDefault="000B195F" w:rsidP="00F43F08">
      <w:pPr>
        <w:spacing w:before="120" w:after="0" w:line="480" w:lineRule="auto"/>
        <w:rPr>
          <w:rFonts w:cs="Calibri"/>
          <w:b/>
          <w:bCs/>
          <w:color w:val="000000" w:themeColor="text1"/>
          <w:sz w:val="36"/>
          <w:szCs w:val="36"/>
        </w:rPr>
      </w:pPr>
      <w:r w:rsidRPr="000B195F">
        <w:rPr>
          <w:rFonts w:eastAsia="Calibri" w:cs="Calibri"/>
          <w:b/>
          <w:bCs/>
          <w:sz w:val="36"/>
          <w:szCs w:val="36"/>
        </w:rPr>
        <w:t>Nabór nr FEMA.04.01-IP.01-00</w:t>
      </w:r>
      <w:r w:rsidR="00E27555">
        <w:rPr>
          <w:rFonts w:eastAsia="Calibri" w:cs="Calibri"/>
          <w:b/>
          <w:bCs/>
          <w:sz w:val="36"/>
          <w:szCs w:val="36"/>
        </w:rPr>
        <w:t>7</w:t>
      </w:r>
      <w:r w:rsidRPr="000B195F">
        <w:rPr>
          <w:rFonts w:eastAsia="Calibri" w:cs="Calibri"/>
          <w:b/>
          <w:bCs/>
          <w:sz w:val="36"/>
          <w:szCs w:val="36"/>
        </w:rPr>
        <w:t>/23</w:t>
      </w:r>
    </w:p>
    <w:p w14:paraId="49E2B157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39EEF7C7" w:rsidR="00355CCB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 xml:space="preserve">arszawa, </w:t>
      </w:r>
      <w:r w:rsidR="00B90DCC">
        <w:rPr>
          <w:rFonts w:cs="Arial"/>
          <w:b/>
          <w:bCs/>
          <w:color w:val="000000" w:themeColor="text1"/>
          <w:sz w:val="28"/>
          <w:szCs w:val="28"/>
        </w:rPr>
        <w:t xml:space="preserve">31 października </w:t>
      </w:r>
      <w:r w:rsidR="22EC9791" w:rsidRPr="5D086780">
        <w:rPr>
          <w:rFonts w:cs="Arial"/>
          <w:b/>
          <w:bCs/>
          <w:color w:val="000000" w:themeColor="text1"/>
          <w:sz w:val="28"/>
          <w:szCs w:val="28"/>
        </w:rPr>
        <w:t>2023 r.</w:t>
      </w:r>
    </w:p>
    <w:p w14:paraId="40B760AA" w14:textId="77777777" w:rsidR="000B195F" w:rsidRPr="00A528B9" w:rsidRDefault="000B195F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60FF9947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70BCDDE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10B5C71E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31991F8D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23B47DDF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2C7AAA2B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A14CF2D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486B0DC9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5D1382BA" w:rsidR="00E2477E" w:rsidRDefault="00771B5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73880C8" w:rsidR="00E2477E" w:rsidRDefault="00771B5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5D6BC1C7" w:rsidR="00E2477E" w:rsidRDefault="00771B5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1DD73C5E" w:rsidR="00E2477E" w:rsidRDefault="00771B5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16E9035F" w:rsidR="00E2477E" w:rsidRDefault="00771B5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5A3770C5" w:rsidR="00E2477E" w:rsidRDefault="00771B5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771B5E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77777777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Pr="001A2CF9">
          <w:rPr>
            <w:rStyle w:val="Hipercze"/>
            <w:rFonts w:cs="Arial"/>
            <w:color w:val="000000"/>
            <w:sz w:val="20"/>
            <w:szCs w:val="20"/>
          </w:rPr>
          <w:t>www.funduszedlamazowsza.eu</w:t>
        </w:r>
      </w:hyperlink>
      <w:r w:rsidRPr="001A2CF9">
        <w:rPr>
          <w:rFonts w:cs="Arial"/>
          <w:sz w:val="20"/>
          <w:szCs w:val="20"/>
        </w:rPr>
        <w:t>.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2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2E6A20F6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hyperlink r:id="rId13">
        <w:r w:rsidR="0D513838" w:rsidRPr="644EA27C">
          <w:rPr>
            <w:rStyle w:val="Hipercze"/>
            <w:rFonts w:cs="Arial"/>
            <w:color w:val="000000" w:themeColor="text1"/>
            <w:sz w:val="20"/>
            <w:szCs w:val="20"/>
          </w:rPr>
          <w:t>www.funduszedlamazowsza.eu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7C1E7429" w14:textId="34B45A20" w:rsidR="6B0902D7" w:rsidRPr="000B706E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odnieść się do Oceny DNSH projektu Programu Regionalnego: Fundusze dla Mazowsza 2021-2027 zamieszczonej na stronie internetowej programu regionalnego: </w:t>
      </w:r>
      <w:hyperlink r:id="rId15">
        <w:r w:rsidRPr="008E4BBD">
          <w:rPr>
            <w:rStyle w:val="Hipercze"/>
            <w:sz w:val="20"/>
            <w:szCs w:val="20"/>
          </w:rPr>
          <w:t>https://www.funduszedlamazowsza.eu/aktualnosci/program-fundusze-europejskie-dla-mazowsza-2021-2027-zostal-przyjety-przez-komisje-europejska/</w:t>
        </w:r>
      </w:hyperlink>
      <w:r w:rsidRPr="000B706E">
        <w:rPr>
          <w:sz w:val="20"/>
          <w:szCs w:val="20"/>
        </w:rPr>
        <w:t>.</w:t>
      </w:r>
      <w:r w:rsidR="6B0902D7">
        <w:br/>
      </w:r>
      <w:r w:rsidR="17B610E0" w:rsidRPr="000B706E">
        <w:rPr>
          <w:sz w:val="20"/>
          <w:szCs w:val="20"/>
        </w:rPr>
        <w:t>P</w:t>
      </w:r>
      <w:r w:rsidRPr="000B706E">
        <w:rPr>
          <w:sz w:val="20"/>
          <w:szCs w:val="20"/>
        </w:rPr>
        <w:t xml:space="preserve">rojekt </w:t>
      </w:r>
      <w:r w:rsidR="6E86F0B5" w:rsidRPr="000B706E">
        <w:rPr>
          <w:sz w:val="20"/>
          <w:szCs w:val="20"/>
        </w:rPr>
        <w:t xml:space="preserve">powinien </w:t>
      </w:r>
      <w:r w:rsidRPr="000B706E">
        <w:rPr>
          <w:sz w:val="20"/>
          <w:szCs w:val="20"/>
        </w:rPr>
        <w:t>spełnia</w:t>
      </w:r>
      <w:r w:rsidR="7E18D459" w:rsidRPr="000B706E">
        <w:rPr>
          <w:sz w:val="20"/>
          <w:szCs w:val="20"/>
        </w:rPr>
        <w:t>ć</w:t>
      </w:r>
      <w:r w:rsidRPr="000B706E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77B62" w14:textId="77777777" w:rsidR="00771B5E" w:rsidRDefault="00771B5E" w:rsidP="00FE74CD">
      <w:pPr>
        <w:spacing w:after="0" w:line="240" w:lineRule="auto"/>
      </w:pPr>
      <w:r>
        <w:separator/>
      </w:r>
    </w:p>
  </w:endnote>
  <w:endnote w:type="continuationSeparator" w:id="0">
    <w:p w14:paraId="6EC56595" w14:textId="77777777" w:rsidR="00771B5E" w:rsidRDefault="00771B5E" w:rsidP="00FE74CD">
      <w:pPr>
        <w:spacing w:after="0" w:line="240" w:lineRule="auto"/>
      </w:pPr>
      <w:r>
        <w:continuationSeparator/>
      </w:r>
    </w:p>
  </w:endnote>
  <w:endnote w:type="continuationNotice" w:id="1">
    <w:p w14:paraId="42D51825" w14:textId="77777777" w:rsidR="00771B5E" w:rsidRDefault="00771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2CD9608B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5BD0">
      <w:rPr>
        <w:noProof/>
      </w:rPr>
      <w:t>2</w:t>
    </w:r>
    <w:r>
      <w:fldChar w:fldCharType="end"/>
    </w:r>
    <w:r>
      <w:rPr>
        <w:noProof/>
      </w:rPr>
      <w:t xml:space="preserve"> z </w:t>
    </w:r>
    <w:r w:rsidR="00771B5E">
      <w:fldChar w:fldCharType="begin"/>
    </w:r>
    <w:r w:rsidR="00771B5E">
      <w:instrText>NUMPAGES   \* MERGEFORMAT</w:instrText>
    </w:r>
    <w:r w:rsidR="00771B5E">
      <w:fldChar w:fldCharType="separate"/>
    </w:r>
    <w:r w:rsidR="00615BD0">
      <w:rPr>
        <w:noProof/>
      </w:rPr>
      <w:t>8</w:t>
    </w:r>
    <w:r w:rsidR="00771B5E">
      <w:rPr>
        <w:noProof/>
      </w:rPr>
      <w:fldChar w:fldCharType="end"/>
    </w:r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BCA73" w14:textId="77777777" w:rsidR="00771B5E" w:rsidRDefault="00771B5E" w:rsidP="00FE74CD">
      <w:pPr>
        <w:spacing w:after="0" w:line="240" w:lineRule="auto"/>
      </w:pPr>
      <w:r>
        <w:separator/>
      </w:r>
    </w:p>
  </w:footnote>
  <w:footnote w:type="continuationSeparator" w:id="0">
    <w:p w14:paraId="25D23021" w14:textId="77777777" w:rsidR="00771B5E" w:rsidRDefault="00771B5E" w:rsidP="00FE74CD">
      <w:pPr>
        <w:spacing w:after="0" w:line="240" w:lineRule="auto"/>
      </w:pPr>
      <w:r>
        <w:continuationSeparator/>
      </w:r>
    </w:p>
  </w:footnote>
  <w:footnote w:type="continuationNotice" w:id="1">
    <w:p w14:paraId="439C0CEE" w14:textId="77777777" w:rsidR="00771B5E" w:rsidRDefault="00771B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35"/>
  </w:num>
  <w:num w:numId="4">
    <w:abstractNumId w:val="33"/>
  </w:num>
  <w:num w:numId="5">
    <w:abstractNumId w:val="36"/>
  </w:num>
  <w:num w:numId="6">
    <w:abstractNumId w:val="40"/>
  </w:num>
  <w:num w:numId="7">
    <w:abstractNumId w:val="6"/>
  </w:num>
  <w:num w:numId="8">
    <w:abstractNumId w:val="13"/>
  </w:num>
  <w:num w:numId="9">
    <w:abstractNumId w:val="29"/>
  </w:num>
  <w:num w:numId="10">
    <w:abstractNumId w:val="39"/>
  </w:num>
  <w:num w:numId="11">
    <w:abstractNumId w:val="30"/>
  </w:num>
  <w:num w:numId="12">
    <w:abstractNumId w:val="25"/>
  </w:num>
  <w:num w:numId="13">
    <w:abstractNumId w:val="19"/>
  </w:num>
  <w:num w:numId="14">
    <w:abstractNumId w:val="34"/>
  </w:num>
  <w:num w:numId="15">
    <w:abstractNumId w:val="26"/>
  </w:num>
  <w:num w:numId="16">
    <w:abstractNumId w:val="12"/>
  </w:num>
  <w:num w:numId="17">
    <w:abstractNumId w:val="14"/>
  </w:num>
  <w:num w:numId="18">
    <w:abstractNumId w:val="2"/>
  </w:num>
  <w:num w:numId="19">
    <w:abstractNumId w:val="31"/>
  </w:num>
  <w:num w:numId="20">
    <w:abstractNumId w:val="32"/>
  </w:num>
  <w:num w:numId="21">
    <w:abstractNumId w:val="3"/>
  </w:num>
  <w:num w:numId="22">
    <w:abstractNumId w:val="20"/>
  </w:num>
  <w:num w:numId="23">
    <w:abstractNumId w:val="23"/>
  </w:num>
  <w:num w:numId="24">
    <w:abstractNumId w:val="8"/>
  </w:num>
  <w:num w:numId="25">
    <w:abstractNumId w:val="27"/>
  </w:num>
  <w:num w:numId="26">
    <w:abstractNumId w:val="16"/>
  </w:num>
  <w:num w:numId="27">
    <w:abstractNumId w:val="21"/>
  </w:num>
  <w:num w:numId="28">
    <w:abstractNumId w:val="18"/>
  </w:num>
  <w:num w:numId="29">
    <w:abstractNumId w:val="15"/>
  </w:num>
  <w:num w:numId="30">
    <w:abstractNumId w:val="0"/>
  </w:num>
  <w:num w:numId="31">
    <w:abstractNumId w:val="10"/>
  </w:num>
  <w:num w:numId="32">
    <w:abstractNumId w:val="5"/>
  </w:num>
  <w:num w:numId="33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7"/>
  </w:num>
  <w:num w:numId="36">
    <w:abstractNumId w:val="9"/>
  </w:num>
  <w:num w:numId="37">
    <w:abstractNumId w:val="22"/>
  </w:num>
  <w:num w:numId="38">
    <w:abstractNumId w:val="24"/>
  </w:num>
  <w:num w:numId="39">
    <w:abstractNumId w:val="38"/>
  </w:num>
  <w:num w:numId="40">
    <w:abstractNumId w:val="4"/>
  </w:num>
  <w:num w:numId="41">
    <w:abstractNumId w:val="1"/>
  </w:num>
  <w:num w:numId="4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0B93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195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956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11F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5BD0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70219"/>
    <w:rsid w:val="00771B5E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198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DCC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196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0969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858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27555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2D9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2D64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dlamazowsza.eu/aktualnosci/program-fundusze-europejskie-dla-mazowsza-2021-2027-zostal-przyjety-przez-komisje-europejska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6BB21-A745-41DC-A73E-3F5791DE136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205C41FB-12D8-46A8-B2A0-76340073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A1393-0467-4309-A232-7034E443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2186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Dzielski Andrzej</cp:lastModifiedBy>
  <cp:revision>2</cp:revision>
  <cp:lastPrinted>2019-09-10T16:35:00Z</cp:lastPrinted>
  <dcterms:created xsi:type="dcterms:W3CDTF">2023-10-27T11:42:00Z</dcterms:created>
  <dcterms:modified xsi:type="dcterms:W3CDTF">2023-10-27T11:42:00Z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