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cs="Arial"/>
          <w:b/>
          <w:sz w:val="20"/>
          <w:szCs w:val="20"/>
        </w:rPr>
      </w:pPr>
    </w:p>
    <w:p>
      <w:pPr>
        <w:spacing w:before="120" w:after="120"/>
        <w:jc w:val="center"/>
        <w:rPr>
          <w:rFonts w:cs="Arial"/>
          <w:b/>
          <w:sz w:val="20"/>
          <w:szCs w:val="20"/>
        </w:rPr>
      </w:pPr>
    </w:p>
    <w:p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Komunikat</w:t>
      </w:r>
    </w:p>
    <w:p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after="0" w:line="360" w:lineRule="auto"/>
        <w:rPr>
          <w:rFonts w:ascii="Arial" w:hAnsi="Arial" w:cs="Arial"/>
          <w:sz w:val="20"/>
          <w:szCs w:val="20"/>
        </w:rPr>
      </w:pPr>
    </w:p>
    <w:p>
      <w:pPr>
        <w:pStyle w:val="21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Mazowiecka Jednostka Wdrażania Programów Unijnych informuje, że w ramach naboru </w:t>
      </w:r>
      <w:r>
        <w:br w:type="textWrapping"/>
      </w:r>
      <w:r>
        <w:rPr>
          <w:rFonts w:ascii="Arial" w:hAnsi="Arial" w:cs="Arial"/>
          <w:sz w:val="20"/>
          <w:szCs w:val="20"/>
        </w:rPr>
        <w:t xml:space="preserve">nr </w:t>
      </w:r>
      <w:bookmarkStart w:id="0" w:name="_Hlk144971257"/>
      <w:r>
        <w:rPr>
          <w:rFonts w:ascii="Arial" w:hAnsi="Arial" w:cs="Arial"/>
          <w:sz w:val="20"/>
          <w:szCs w:val="20"/>
        </w:rPr>
        <w:t xml:space="preserve">FEMA.08.04-IP.01-016/23 </w:t>
      </w:r>
      <w:bookmarkEnd w:id="0"/>
      <w:r>
        <w:rPr>
          <w:rFonts w:ascii="Arial" w:hAnsi="Arial" w:cs="Arial"/>
          <w:sz w:val="20"/>
          <w:szCs w:val="20"/>
        </w:rPr>
        <w:t>ogłoszonego dla Priorytetu VIII Fundusze Europejskie dla aktywnej integracji oraz rozwoju usług społecznych i zdrowotnych na Mazowszu, Działania 8.4 Integracja społeczno-zawodowa obywateli państw trzecich, Fundusze Europejskie dla Mazowsza 2021-2027, nastąpiła aktualizacja Regulaminu wyboru projektów.</w:t>
      </w:r>
    </w:p>
    <w:p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 znajdują się w poniższej tabeli zmian:</w:t>
      </w:r>
    </w:p>
    <w:p>
      <w:pPr>
        <w:pStyle w:val="28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1 zmiana zapisów Regulaminu wyboru projektów;</w:t>
      </w:r>
    </w:p>
    <w:p>
      <w:pPr>
        <w:pStyle w:val="28"/>
        <w:spacing w:before="120" w:after="120" w:line="360" w:lineRule="auto"/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rPr>
          <w:rFonts w:ascii="Arial" w:hAnsi="Arial" w:cs="Arial"/>
          <w:sz w:val="20"/>
          <w:szCs w:val="20"/>
        </w:rPr>
      </w:pPr>
    </w:p>
    <w:p>
      <w:pPr>
        <w:spacing w:after="120" w:line="36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>Pozostałe postanowienia Regulaminu wyboru projektów oraz załączniki pozostają bez zmian. Wprowadzone zmiany stosuje się z dniem ogłoszenia.</w:t>
      </w:r>
    </w:p>
    <w:p>
      <w:pPr>
        <w:spacing w:after="0" w:line="360" w:lineRule="auto"/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jc w:val="both"/>
        <w:rPr>
          <w:rFonts w:cs="Arial"/>
          <w:sz w:val="20"/>
          <w:szCs w:val="2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268" w:right="1274" w:bottom="1134" w:left="1276" w:header="567" w:footer="850" w:gutter="0"/>
          <w:cols w:space="708" w:num="1"/>
          <w:docGrid w:linePitch="360" w:charSpace="0"/>
        </w:sectPr>
      </w:pPr>
    </w:p>
    <w:p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>
      <w:pPr>
        <w:tabs>
          <w:tab w:val="left" w:pos="7680"/>
        </w:tabs>
        <w:spacing w:after="0" w:line="240" w:lineRule="auto"/>
        <w:jc w:val="center"/>
        <w:rPr>
          <w:rFonts w:ascii="Arial" w:hAnsi="Arial" w:eastAsia="Times New Roman" w:cs="Arial"/>
          <w:b/>
          <w:bCs/>
          <w:sz w:val="20"/>
          <w:szCs w:val="20"/>
          <w:lang w:eastAsia="pl-PL"/>
        </w:rPr>
      </w:pPr>
    </w:p>
    <w:p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Tabela zmian nr 1 w ramach naboru </w:t>
      </w:r>
      <w:bookmarkStart w:id="1" w:name="_Hlk153363109"/>
      <w:r>
        <w:rPr>
          <w:rFonts w:ascii="Arial" w:hAnsi="Arial" w:cs="Arial"/>
          <w:b/>
          <w:bCs/>
          <w:sz w:val="20"/>
          <w:szCs w:val="20"/>
        </w:rPr>
        <w:t>nr FEMA.08.04-IP.01-016/23</w:t>
      </w:r>
      <w:bookmarkEnd w:id="1"/>
    </w:p>
    <w:p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zmian do Regulaminu wyboru projektów</w:t>
      </w:r>
    </w:p>
    <w:p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5281" w:type="dxa"/>
        <w:tblInd w:w="-7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4791"/>
        <w:gridCol w:w="4820"/>
        <w:gridCol w:w="3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791" w:type="dxa"/>
            <w:vAlign w:val="center"/>
          </w:tcPr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820" w:type="dxa"/>
            <w:vAlign w:val="center"/>
          </w:tcPr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3260" w:type="dxa"/>
            <w:vAlign w:val="center"/>
          </w:tcPr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  <w:t>Uzasadnienie/Uwagi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pStyle w:val="28"/>
              <w:widowControl w:val="0"/>
              <w:numPr>
                <w:ilvl w:val="0"/>
                <w:numId w:val="2"/>
              </w:numPr>
              <w:adjustRightInd w:val="0"/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bookmarkStart w:id="2" w:name="_Toc52435986"/>
            <w:bookmarkStart w:id="3" w:name="move35947392"/>
            <w:bookmarkStart w:id="4" w:name="_Toc35947536"/>
            <w:bookmarkStart w:id="5" w:name="_Toc36210501"/>
            <w:bookmarkStart w:id="6" w:name="_Toc141696807"/>
            <w:r>
              <w:rPr>
                <w:rFonts w:ascii="Arial" w:hAnsi="Arial" w:cs="Arial"/>
                <w:sz w:val="20"/>
                <w:szCs w:val="20"/>
              </w:rPr>
              <w:t xml:space="preserve">Rozdział 11. Jak złożyć wniosek o dofinansowanie  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Nabór wniosków o dofinansowanie realizacji projektów będziemy prowadzić</w:t>
            </w:r>
          </w:p>
          <w:p>
            <w:pPr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od 31-10-2023 r. do 05-12-2023 r. do godz. 23:59.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Nabór wniosków o dofinansowanie realizacji projektów będziemy prowadzić</w:t>
            </w:r>
          </w:p>
          <w:p>
            <w:pPr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od 31-10-2023 r. do 05-01-2024 r. do godz. 23:59.</w:t>
            </w:r>
          </w:p>
        </w:tc>
        <w:tc>
          <w:tcPr>
            <w:tcW w:w="3260" w:type="dxa"/>
            <w:vAlign w:val="center"/>
          </w:tcPr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Wydłużenie terminu naboru wniosków zgodnie z decyzją Zarządu Województwa Mazowieckiego z dnia 5 grudnia 2023 r.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pStyle w:val="28"/>
              <w:widowControl w:val="0"/>
              <w:numPr>
                <w:ilvl w:val="0"/>
                <w:numId w:val="2"/>
              </w:numPr>
              <w:adjustRightInd w:val="0"/>
              <w:spacing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3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7" w:name="_Toc10745"/>
            <w:bookmarkStart w:id="8" w:name="_Toc26350"/>
            <w:bookmarkStart w:id="9" w:name="_Toc148610689"/>
            <w:bookmarkStart w:id="10" w:name="_Toc7371"/>
            <w:bookmarkStart w:id="11" w:name="Bookmark20"/>
            <w:bookmarkStart w:id="12" w:name="_Toc52436001"/>
            <w:bookmarkStart w:id="13" w:name="_Toc495"/>
            <w:bookmarkStart w:id="14" w:name="_Toc3616"/>
            <w:bookmarkStart w:id="15" w:name="_Toc17179"/>
            <w:bookmarkStart w:id="16" w:name="_Toc36210519"/>
            <w:bookmarkStart w:id="17" w:name="_Toc35947554"/>
            <w:bookmarkStart w:id="18" w:name="_Toc5674"/>
            <w:bookmarkStart w:id="19" w:name="_Toc4850"/>
            <w:bookmarkStart w:id="20" w:name="_Toc13109"/>
            <w:bookmarkStart w:id="21" w:name="_Toc26077"/>
            <w:bookmarkStart w:id="22" w:name="_Toc4521"/>
            <w:bookmarkStart w:id="23" w:name="_Toc16331"/>
            <w:bookmarkStart w:id="24" w:name="_Toc2359"/>
            <w:bookmarkStart w:id="25" w:name="_Toc25287"/>
            <w:bookmarkStart w:id="26" w:name="_Toc21892"/>
            <w:bookmarkStart w:id="27" w:name="_Toc473115190"/>
            <w:r>
              <w:rPr>
                <w:rFonts w:ascii="Arial" w:hAnsi="Arial" w:cs="Arial"/>
                <w:color w:val="auto"/>
                <w:sz w:val="20"/>
                <w:szCs w:val="20"/>
              </w:rPr>
              <w:t>Rozdział 8.7 Podatek od towarów i usług (VAT)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  <w:p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projektach o wartości poniżej 5 mln EUR nie musisz składać oświadczenia o kwalifikowalności podatku od towarów i usług, ponieważ wydatki w ramach projektu mogą obejmować koszt podatku.</w:t>
            </w:r>
          </w:p>
          <w:p>
            <w:pPr>
              <w:pStyle w:val="1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Pamietaj!</w:t>
            </w:r>
          </w:p>
          <w:p>
            <w:pPr>
              <w:pStyle w:val="1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w projekcie, którego łączny koszt wynosi co najmniej 5  mln EUR (włączając VAT), jest niekwalifikowalny, chyba że wskażesz na brak prawnej możliwości odzyskania podatku VAT zgodnie z przepisami prawa krajowego i pod warunkiem złożenia oświadczenia o kwalifikowalności podatku VAT – stanowiącego załącznik do minimalnego zakresu umowy o dofinansowanie projektu.</w:t>
            </w:r>
          </w:p>
          <w:p>
            <w:pPr>
              <w:pStyle w:val="1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UWAGA: podając podstawę prawną  wskaż dodatkowo wysokość podatku VAT, którego nie możesz odzyskać. 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before="240" w:beforeAutospacing="0" w:after="240" w:afterAutospacing="0" w:line="360" w:lineRule="auto"/>
              <w:rPr>
                <w:rFonts w:ascii="Arial" w:hAnsi="Arial" w:eastAsia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eastAsia="Arial" w:cs="Arial"/>
                <w:sz w:val="20"/>
                <w:szCs w:val="20"/>
                <w:lang w:val="pl-PL"/>
              </w:rPr>
              <w:t xml:space="preserve">Jeśli Twój projekt ma łączny koszt do 5 mln euro, to podatek VAT będzie wydatkiem kwalifikowanym, zgodnie z brzmieniem art. 64 ustęp 1 lit. c) pkt (i) rozporządzenia ogólnego. Wynika to z uprawnienia określonego w przepisach </w:t>
            </w:r>
            <w:bookmarkStart w:id="28" w:name="_GoBack"/>
            <w:bookmarkEnd w:id="28"/>
            <w:r>
              <w:rPr>
                <w:rFonts w:ascii="Arial" w:hAnsi="Arial" w:eastAsia="Arial" w:cs="Arial"/>
                <w:sz w:val="20"/>
                <w:szCs w:val="20"/>
                <w:lang w:val="pl-PL"/>
              </w:rPr>
              <w:t xml:space="preserve">prawa unijnego. Niemniej jednak to na Tobie będzie spoczywało ryzyko zwrotu uzyskanych z tego tytułu środków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ascii="Arial" w:hAnsi="Arial" w:eastAsia="Arial" w:cs="Arial"/>
                <w:sz w:val="20"/>
                <w:szCs w:val="20"/>
                <w:lang w:val="pl-PL"/>
              </w:rPr>
              <w:t>w przypadku stwierdzenia przez właściwą instytucję, że wydatek w zakresie VAT nie może być kwalifikowalny w związku z naruszeniem przez Ciebie powszechnie obowiązujących przepisów prawa, wytycznych itp.</w:t>
            </w:r>
          </w:p>
          <w:p>
            <w:pPr>
              <w:spacing w:before="240" w:beforeAutospacing="0" w:after="240" w:afterAutospacing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Pamiętaj!</w:t>
            </w:r>
          </w:p>
          <w:p>
            <w:pPr>
              <w:spacing w:before="240" w:beforeAutospacing="0"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Podatek VAT w projekcie, którego łączny koszt wynosi co najmniej 5 mln EUR (włączając VAT), jest niekwalifikowalny, chyba że wskażesz na brak prawnej możliwości odzyskania podatku VAT zgodnie z przepisami prawa krajowego i pod warunkiem złożenia oświadczenia o kwalifikowalności podatku VAT – stanowiącego </w:t>
            </w:r>
            <w:r>
              <w:rPr>
                <w:rFonts w:ascii="Arial" w:hAnsi="Arial" w:cs="Arial"/>
                <w:sz w:val="20"/>
                <w:szCs w:val="20"/>
              </w:rPr>
              <w:t>załącznik nr 3 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minimalnego zakresu umowy o dofinansowanie projektu.</w:t>
            </w:r>
          </w:p>
          <w:p>
            <w:pPr>
              <w:pStyle w:val="11"/>
              <w:spacing w:line="360" w:lineRule="auto"/>
              <w:rPr>
                <w:rFonts w:ascii="Arial" w:hAnsi="Arial" w:eastAsia="Arial" w:cs="Arial"/>
                <w:color w:val="000000" w:themeColor="text1" w:themeTint="FF"/>
                <w:sz w:val="20"/>
                <w:szCs w:val="20"/>
                <w:lang w:val="pl-PL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 w:themeTint="FF"/>
                <w:sz w:val="20"/>
                <w:szCs w:val="20"/>
                <w:lang w:val="pl-PL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UWAGA: podając podstawę prawną wskaż dodatkowo wysokość podatku VAT, którego nie możesz odzyskać.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pl-PL"/>
              </w:rPr>
              <w:t>Doprecyzowanie zapisów w zakresie kwalifikowalności podatku od towarów i usług (VAT)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 w:val="0"/>
              <w:adjustRightInd w:val="0"/>
              <w:spacing w:after="0"/>
              <w:jc w:val="right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3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3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Podrozdział 8.1 Wymaganie finansowe</w:t>
            </w:r>
          </w:p>
        </w:tc>
        <w:tc>
          <w:tcPr>
            <w:tcW w:w="4791" w:type="dxa"/>
            <w:vAlign w:val="center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  <w:tc>
          <w:tcPr>
            <w:tcW w:w="4820" w:type="dxa"/>
            <w:vAlign w:val="center"/>
          </w:tcPr>
          <w:p>
            <w:pPr>
              <w:pStyle w:val="1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 czym poziom dofinansowania twojego projektu UE musi wynosić 85%, dlatego w sekcji l.3 Źródła finasowania w polu % dofinasowanie UE wprowadź wartość 85.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 xml:space="preserve">Doprecyzowanie wpisania we wniosku właściwego poziomu dofinansowania w sekcji I. 3 </w:t>
            </w:r>
            <w:r>
              <w:rPr>
                <w:rFonts w:ascii="Arial" w:hAnsi="Arial" w:cs="Arial"/>
                <w:sz w:val="20"/>
                <w:szCs w:val="20"/>
              </w:rPr>
              <w:t>Źródła finasowania w polu % dofinasowanie UE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pacing w:after="0"/>
              <w:ind w:left="0" w:leftChars="0" w:firstLine="0" w:firstLineChars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 w:bidi="ar-SA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3"/>
              <w:spacing w:before="0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l-PL"/>
              </w:rPr>
              <w:t>Podrozdział 18.1</w:t>
            </w:r>
          </w:p>
          <w:p>
            <w:pPr>
              <w:jc w:val="center"/>
              <w:rPr>
                <w:rFonts w:hint="default" w:ascii="Calibri" w:hAnsi="Calibri" w:eastAsia="Calibri" w:cs="Times New Roman"/>
                <w:sz w:val="20"/>
                <w:szCs w:val="20"/>
                <w:lang w:val="pl-PL" w:eastAsia="en-US" w:bidi="ar-SA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Wymagania wynikające z przepisów dotyczących pomocy publicznej lub pomocy de minimis</w:t>
            </w:r>
          </w:p>
        </w:tc>
        <w:tc>
          <w:tcPr>
            <w:tcW w:w="4791" w:type="dxa"/>
            <w:vAlign w:val="center"/>
          </w:tcPr>
          <w:p>
            <w:pPr>
              <w:spacing w:after="120"/>
              <w:rPr>
                <w:rFonts w:hint="default" w:ascii="Arial" w:hAnsi="Arial" w:eastAsia="Calibri" w:cs="Arial"/>
                <w:sz w:val="20"/>
                <w:szCs w:val="20"/>
                <w:lang w:val="pl-PL" w:eastAsia="en-US" w:bidi="ar-SA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Rozporządzenie Komisji (UE) nr 1407/2013 z dnia 18 grudnia 2013 r. w sprawie stosowania art. 107 i 108 Traktatu o funkcjonowaniu Unii Europejskiej do pomocy de minimis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  <w:t>.</w:t>
            </w:r>
          </w:p>
        </w:tc>
        <w:tc>
          <w:tcPr>
            <w:tcW w:w="4820" w:type="dxa"/>
            <w:vAlign w:val="center"/>
          </w:tcPr>
          <w:p>
            <w:pPr>
              <w:pStyle w:val="11"/>
              <w:spacing w:line="276" w:lineRule="auto"/>
              <w:rPr>
                <w:rFonts w:hint="default" w:ascii="Arial" w:hAnsi="Arial" w:eastAsia="Times New Roman" w:cs="Arial"/>
                <w:sz w:val="20"/>
                <w:szCs w:val="20"/>
                <w:lang w:val="pl-PL" w:eastAsia="pl-PL" w:bidi="ar-SA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Rozporządzenie Komisji (UE) nr 1407/2013 z dnia 18 grudnia 2013 r. w sprawie stosowania art. 107 i 108 Traktatu o funkcjonowaniu Unii Europejskiej do pomocy de minimis</w:t>
            </w:r>
            <w:r>
              <w:rPr>
                <w:rFonts w:hint="default" w:ascii="Arial" w:hAnsi="Arial" w:eastAsia="MS Mincho" w:cs="Arial"/>
                <w:b/>
                <w:bCs/>
                <w:sz w:val="20"/>
                <w:szCs w:val="20"/>
                <w:lang w:val="pl-PL" w:eastAsia="pl" w:bidi="ar"/>
              </w:rPr>
              <w:t xml:space="preserve"> lub przepisami je zastępującymi.</w:t>
            </w:r>
          </w:p>
        </w:tc>
        <w:tc>
          <w:tcPr>
            <w:tcW w:w="3260" w:type="dxa"/>
            <w:vAlign w:val="center"/>
          </w:tcPr>
          <w:p>
            <w:pPr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 w:bidi="ar-SA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Aktualizacja podstawy prawnej.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pacing w:after="0"/>
              <w:ind w:left="425" w:leftChars="0"/>
              <w:jc w:val="both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pacing w:after="0"/>
              <w:ind w:left="0" w:leftChars="0" w:firstLine="0" w:firstLineChars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 w:bidi="ar-SA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5.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before="0"/>
              <w:jc w:val="center"/>
              <w:rPr>
                <w:rFonts w:hint="default" w:ascii="Arial" w:hAnsi="Arial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pl-PL"/>
              </w:rPr>
              <w:t>Podrozdział 18.1</w:t>
            </w:r>
          </w:p>
          <w:p>
            <w:pPr>
              <w:jc w:val="center"/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Wymagania wynikające z przepisów dotyczących pomocy publicznej lub pomocy de minimis</w:t>
            </w:r>
          </w:p>
        </w:tc>
        <w:tc>
          <w:tcPr>
            <w:tcW w:w="0" w:type="auto"/>
            <w:vAlign w:val="center"/>
          </w:tcPr>
          <w:p>
            <w:pPr>
              <w:spacing w:after="120"/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Rozporządzenie Ministra Funduszy i Polityki Regionalnej z dnia 20 grudnia 2022 r. w sprawie udzielania pomocy de minimis oraz pomocy publicznej w ramach programów finansowanych z Europejskiego Funduszu Społecznego Plus (EFS+) na lata 2021–2027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  <w:t>.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spacing w:line="276" w:lineRule="auto"/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Rozporządzenie Ministra Funduszy i Polityki Regionalnej z dnia 20 grudnia 2022 r. w sprawie udzielania pomocy de minimis oraz pomocy publicznej w ramach programów finansowanych z Europejskiego Funduszu Społecznego Plus (EFS+) na lata 2021–2027</w:t>
            </w:r>
            <w:r>
              <w:rPr>
                <w:rFonts w:hint="default" w:ascii="Arial" w:hAnsi="Arial" w:eastAsia="MS Mincho" w:cs="Arial"/>
                <w:b/>
                <w:bCs/>
                <w:sz w:val="20"/>
                <w:szCs w:val="20"/>
                <w:lang w:val="pl-PL" w:eastAsia="pl" w:bidi="ar"/>
              </w:rPr>
              <w:t>lub przepisami je zastępującymi.</w:t>
            </w:r>
          </w:p>
        </w:tc>
        <w:tc>
          <w:tcPr>
            <w:tcW w:w="0" w:type="auto"/>
            <w:vAlign w:val="center"/>
          </w:tcPr>
          <w:p>
            <w:pPr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 w:bidi="ar-SA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Aktualizacja podstawy prawnej.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pacing w:after="0"/>
              <w:ind w:left="0" w:leftChars="0" w:firstLine="0" w:firstLineChars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 w:bidi="ar-SA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6.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 w:ascii="Arial" w:hAnsi="Arial" w:cs="Arial"/>
                <w:b w:val="0"/>
                <w:bCs w:val="0"/>
                <w:sz w:val="20"/>
                <w:szCs w:val="20"/>
                <w:lang w:val="pl"/>
              </w:rPr>
            </w:pPr>
            <w:r>
              <w:rPr>
                <w:rFonts w:hint="default" w:ascii="Arial" w:hAnsi="Arial" w:eastAsia="MS Mincho" w:cs="Arial"/>
                <w:b w:val="0"/>
                <w:bCs w:val="0"/>
                <w:kern w:val="0"/>
                <w:sz w:val="20"/>
                <w:szCs w:val="20"/>
                <w:lang w:val="pl-PL" w:eastAsia="zh-CN" w:bidi="ar"/>
              </w:rPr>
              <w:t xml:space="preserve">Podrozdział </w:t>
            </w:r>
            <w:r>
              <w:rPr>
                <w:rFonts w:hint="default" w:ascii="Arial" w:hAnsi="Arial" w:eastAsia="MS Mincho" w:cs="Arial"/>
                <w:b w:val="0"/>
                <w:bCs w:val="0"/>
                <w:kern w:val="0"/>
                <w:sz w:val="20"/>
                <w:szCs w:val="20"/>
                <w:lang w:val="pl" w:eastAsia="zh-CN" w:bidi="ar"/>
              </w:rPr>
              <w:t>18.2 Pomoc de minimis</w:t>
            </w:r>
          </w:p>
          <w:p>
            <w:pPr>
              <w:jc w:val="center"/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120"/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  <w:t xml:space="preserve">(...) 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Zgodnie z rozporządzeniem Komisji (UE) nr 1407/2013 z dnia 18 grudnia 2013 r. w sprawie stosowania art. 107 i 108 Traktatu o funkcjonowaniu Unii Europejskiej do pomocy de minimis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  <w:t xml:space="preserve">, 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ogólna kwota pomocy de minimis przyznanej przez państwo członkowskie jednemu przedsiębiorstwu nie może przekroczyć 200.000 EUR w okresie ostatnich trzech lat podatkowych.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spacing w:line="276" w:lineRule="auto"/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  <w:t>(...)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Zgodnie z rozporządzeniem Komisji (UE) nr 1407/2013 z dnia 18 grudnia 2013 r. w sprawie stosowania art. 107 i 108 Traktatu o funkcjonowaniu Unii Europejskiej do pomocy de minimis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  <w:t xml:space="preserve">, </w:t>
            </w:r>
            <w:r>
              <w:rPr>
                <w:rFonts w:hint="default" w:ascii="Arial" w:hAnsi="Arial" w:eastAsia="MS Mincho" w:cs="Arial"/>
                <w:b/>
                <w:bCs/>
                <w:i w:val="0"/>
                <w:iCs w:val="0"/>
                <w:sz w:val="20"/>
                <w:szCs w:val="20"/>
                <w:lang w:val="pl" w:eastAsia="pl" w:bidi="ar"/>
              </w:rPr>
              <w:t>zmienionym Rozporządzeniem Komisji (UE) 2020/972 z dnia 2 lipca 2020 r</w:t>
            </w:r>
            <w:r>
              <w:rPr>
                <w:rFonts w:hint="default" w:ascii="Arial" w:hAnsi="Arial" w:eastAsia="MS Mincho" w:cs="Arial"/>
                <w:b/>
                <w:bCs/>
                <w:i w:val="0"/>
                <w:iCs w:val="0"/>
                <w:sz w:val="20"/>
                <w:szCs w:val="20"/>
                <w:lang w:val="pl-PL" w:eastAsia="pl" w:bidi="ar"/>
              </w:rPr>
              <w:t xml:space="preserve">., </w:t>
            </w: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ogólna kwota pomocy de minimis przyznanej przez państwo członkowskie jednemu przedsiębiorstwu nie może przekroczyć 200.000 EUR w okresie ostatnich trzech lat podatkowych.</w:t>
            </w:r>
          </w:p>
        </w:tc>
        <w:tc>
          <w:tcPr>
            <w:tcW w:w="0" w:type="auto"/>
            <w:vAlign w:val="center"/>
          </w:tcPr>
          <w:p>
            <w:pPr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 w:bidi="ar-SA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Aktualizacja podstawy prawnej.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pacing w:after="0"/>
              <w:ind w:left="0" w:leftChars="0" w:firstLine="0" w:firstLineChars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 w:bidi="ar-SA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7.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</w:pPr>
            <w:r>
              <w:rPr>
                <w:rFonts w:hint="default" w:ascii="Arial" w:hAnsi="Arial" w:eastAsia="MS Mincho" w:cs="Arial"/>
                <w:b w:val="0"/>
                <w:bCs w:val="0"/>
                <w:kern w:val="0"/>
                <w:sz w:val="20"/>
                <w:szCs w:val="20"/>
                <w:lang w:val="pl-PL" w:eastAsia="zh-CN" w:bidi="ar"/>
              </w:rPr>
              <w:t xml:space="preserve">Podrozdział </w:t>
            </w:r>
            <w:r>
              <w:rPr>
                <w:rFonts w:hint="default" w:ascii="Arial" w:hAnsi="Arial" w:eastAsia="MS Mincho" w:cs="Arial"/>
                <w:b w:val="0"/>
                <w:bCs w:val="0"/>
                <w:kern w:val="0"/>
                <w:sz w:val="20"/>
                <w:szCs w:val="20"/>
                <w:lang w:val="pl" w:eastAsia="zh-CN" w:bidi="ar"/>
              </w:rPr>
              <w:t>18.2 Pomoc de minimis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  <w:lang w:val="pl"/>
              </w:rPr>
            </w:pPr>
            <w:r>
              <w:rPr>
                <w:rFonts w:hint="default" w:ascii="Arial" w:hAnsi="Arial" w:eastAsia="MS Mincho" w:cs="Arial"/>
                <w:kern w:val="0"/>
                <w:sz w:val="20"/>
                <w:szCs w:val="20"/>
                <w:lang w:val="pl" w:eastAsia="zh-CN" w:bidi="ar"/>
              </w:rPr>
              <w:t xml:space="preserve">Rozporządzenie Komisji (UE) nr 1407/2013 z dnia 18 grudnia 2013 r. w sprawie stosowania art. 107 i 108 Traktatu o funkcjonowaniu Unii Europejskiej do pomocy de minimis </w:t>
            </w:r>
            <w:r>
              <w:rPr>
                <w:rFonts w:hint="default" w:ascii="Arial" w:hAnsi="Arial" w:cs="Arial"/>
                <w:sz w:val="20"/>
                <w:szCs w:val="20"/>
                <w:lang w:val="pl"/>
              </w:rPr>
              <w:t>zawiera definicję „jednego przedsiębiorstwa” określoną dla pomocy de minimis</w:t>
            </w: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pl"/>
              </w:rPr>
              <w:t xml:space="preserve">  </w:t>
            </w:r>
          </w:p>
          <w:p>
            <w:pPr>
              <w:spacing w:after="120"/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uto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  <w:lang w:val="pl"/>
              </w:rPr>
            </w:pPr>
            <w:r>
              <w:rPr>
                <w:rFonts w:hint="default" w:ascii="Arial" w:hAnsi="Arial" w:eastAsia="MS Mincho" w:cs="Arial"/>
                <w:kern w:val="0"/>
                <w:sz w:val="20"/>
                <w:szCs w:val="20"/>
                <w:lang w:val="pl" w:eastAsia="zh-CN" w:bidi="ar"/>
              </w:rPr>
              <w:t xml:space="preserve">Rozporządzenie Komisji (UE) nr 1407/2013 z dnia 18 grudnia 2013 r. w sprawie stosowania art. 107 i 108 Traktatu o funkcjonowaniu Unii Europejskiej do pomocy de minimis </w:t>
            </w:r>
            <w:r>
              <w:rPr>
                <w:rFonts w:hint="default" w:ascii="Arial" w:hAnsi="Arial" w:eastAsia="MS Mincho" w:cs="Arial"/>
                <w:b/>
                <w:bCs/>
                <w:kern w:val="0"/>
                <w:sz w:val="20"/>
                <w:szCs w:val="20"/>
                <w:lang w:val="pl" w:eastAsia="zh-CN" w:bidi="ar"/>
              </w:rPr>
              <w:t>zmienionego Rozporządzeniem Komisji (UE) 2020/972 z dnia 2 lipca 2020 r.</w:t>
            </w:r>
            <w:r>
              <w:rPr>
                <w:rFonts w:hint="default" w:ascii="Arial" w:hAnsi="Arial" w:cs="Arial"/>
                <w:sz w:val="20"/>
                <w:szCs w:val="20"/>
                <w:lang w:val="pl"/>
              </w:rPr>
              <w:t xml:space="preserve"> zawiera definicję „jednego przedsiębiorstwa” określoną dla pomocy de minimis</w:t>
            </w: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.</w:t>
            </w:r>
            <w:r>
              <w:rPr>
                <w:rFonts w:hint="default" w:ascii="Arial" w:hAnsi="Arial" w:cs="Arial"/>
                <w:sz w:val="20"/>
                <w:szCs w:val="20"/>
                <w:lang w:val="pl"/>
              </w:rPr>
              <w:t xml:space="preserve">  </w:t>
            </w:r>
          </w:p>
          <w:p>
            <w:pPr>
              <w:pStyle w:val="11"/>
              <w:spacing w:line="276" w:lineRule="auto"/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 w:bidi="ar-SA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Aktualizacja podstawy prawnej.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 w:val="0"/>
              <w:adjustRightInd w:val="0"/>
              <w:spacing w:after="0"/>
              <w:ind w:left="0" w:leftChars="0" w:firstLine="0" w:firstLineChars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 w:bidi="ar-SA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8.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MS Mincho" w:cs="Arial"/>
                <w:b w:val="0"/>
                <w:bCs w:val="0"/>
                <w:kern w:val="0"/>
                <w:sz w:val="20"/>
                <w:szCs w:val="20"/>
                <w:lang w:val="pl-PL" w:eastAsia="zh-CN" w:bidi="ar"/>
              </w:rPr>
            </w:pPr>
            <w:r>
              <w:rPr>
                <w:rFonts w:hint="default" w:ascii="Arial" w:hAnsi="Arial" w:eastAsia="MS Mincho" w:cs="Arial"/>
                <w:sz w:val="20"/>
                <w:szCs w:val="20"/>
                <w:lang w:val="pl" w:eastAsia="pl" w:bidi="ar"/>
              </w:rPr>
              <w:t>21. Podstawa prawna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Chars="0" w:right="0" w:rightChars="0"/>
              <w:jc w:val="left"/>
              <w:rPr>
                <w:rFonts w:hint="default" w:ascii="Arial" w:hAnsi="Arial" w:eastAsia="Arial" w:cs="Arial"/>
                <w:sz w:val="20"/>
                <w:szCs w:val="20"/>
                <w:lang w:val="pl-PL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4.</w:t>
            </w:r>
            <w:r>
              <w:rPr>
                <w:rFonts w:hint="default" w:ascii="Arial" w:hAnsi="Arial" w:cs="Arial"/>
                <w:sz w:val="20"/>
                <w:szCs w:val="20"/>
                <w:lang w:val="pl"/>
              </w:rPr>
              <w:t>Rozporządzenie Komisji (UE) nr 1407/2013 z dnia 18 grudnia 2013 r. w sprawie stosowania art. 107 i 108 Traktatu o funkcjonowaniu Unii Europejskiej do pomocy de minimis (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pl" w:eastAsia="zh-CN"/>
              </w:rPr>
              <w:t>Dz. Urz. UE L 352 z 24.12.2013, str.1, z późn. zm.)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pl-PL" w:eastAsia="zh-CN"/>
              </w:rPr>
              <w:t>.</w:t>
            </w:r>
          </w:p>
          <w:p>
            <w:pPr>
              <w:spacing w:after="120"/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default" w:ascii="Arial" w:hAnsi="Arial" w:eastAsia="Arial" w:cs="Arial"/>
                <w:b/>
                <w:bCs/>
                <w:sz w:val="20"/>
                <w:szCs w:val="20"/>
                <w:lang w:val="pl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l-PL"/>
              </w:rPr>
              <w:t>4.</w:t>
            </w:r>
            <w:r>
              <w:rPr>
                <w:rFonts w:hint="default" w:ascii="Arial" w:hAnsi="Arial" w:cs="Arial"/>
                <w:sz w:val="20"/>
                <w:szCs w:val="20"/>
                <w:lang w:val="pl"/>
              </w:rPr>
              <w:t>Rozporządzenie Komisji (UE) nr 1407/2013 z dnia 18 grudnia 2013 r. w sprawie stosowania art. 107 i 108 Traktatu o funkcjonowaniu Unii Europejskiej do pomocy de minimis (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pl" w:eastAsia="zh-CN"/>
              </w:rPr>
              <w:t>Dz. Urz. UE L 352 z 24.12.2013, str.1, z późn. zm.)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pl-PL" w:eastAsia="zh-CN"/>
              </w:rPr>
              <w:t>,</w:t>
            </w:r>
            <w:r>
              <w:rPr>
                <w:rFonts w:hint="default" w:ascii="Arial" w:hAnsi="Arial" w:eastAsia="Calibri" w:cs="Arial"/>
                <w:sz w:val="20"/>
                <w:szCs w:val="20"/>
                <w:lang w:val="pl" w:eastAsia="zh-CN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pl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l"/>
              </w:rPr>
              <w:t>zmienione Rozporządzeniem Komisji (UE) 2020/972 z dnia 2 lipca 2020 r.;</w:t>
            </w:r>
          </w:p>
          <w:p>
            <w:pPr>
              <w:pStyle w:val="11"/>
              <w:spacing w:line="276" w:lineRule="auto"/>
              <w:rPr>
                <w:rFonts w:hint="default" w:ascii="Arial" w:hAnsi="Arial" w:eastAsia="MS Mincho" w:cs="Arial"/>
                <w:sz w:val="20"/>
                <w:szCs w:val="20"/>
                <w:lang w:val="pl-PL" w:eastAsia="pl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 w:bidi="ar-SA"/>
              </w:rPr>
            </w:pPr>
            <w:r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  <w:t>Aktualizacja podstawy prawnej.</w:t>
            </w:r>
          </w:p>
        </w:tc>
      </w:tr>
    </w:tbl>
    <w:p>
      <w:pPr>
        <w:tabs>
          <w:tab w:val="left" w:pos="7680"/>
        </w:tabs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sectPr>
      <w:headerReference r:id="rId11" w:type="default"/>
      <w:footerReference r:id="rId12" w:type="default"/>
      <w:pgSz w:w="16838" w:h="11906" w:orient="landscape"/>
      <w:pgMar w:top="2127" w:right="1389" w:bottom="1276" w:left="1134" w:header="567" w:footer="85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left" w:pos="3645"/>
        <w:tab w:val="left" w:pos="4080"/>
        <w:tab w:val="clear" w:pos="4536"/>
        <w:tab w:val="clear" w:pos="9072"/>
      </w:tabs>
    </w:pPr>
    <w:r>
      <w:rPr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lang w:eastAsia="pl-PL"/>
      </w:rPr>
      <w:drawing>
        <wp:inline distT="0" distB="0" distL="114300" distR="114300">
          <wp:extent cx="6120130" cy="560705"/>
          <wp:effectExtent l="0" t="0" r="13970" b="10795"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Mazowiecka Jednostka Wdrażania Programów Unijnych</w:t>
                          </w:r>
                        </w:p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ul. Inflancka 4, 00-189 Warszawa</w:t>
                          </w:r>
                        </w:p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tel. (22) 542 20 00, fax (22) 698 31 44</w:t>
                          </w:r>
                        </w:p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mazowsza.eu 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-23.3pt;margin-top:7.65pt;height:55.1pt;width:231.75pt;z-index:251659264;mso-width-relative:page;mso-height-relative:page;" fillcolor="#FFFFFF" filled="t" stroked="f" coordsize="21600,21600" o:gfxdata="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nj0T9sAAAAKAQAA&#10;DwAAAAAAAAABACAAAAAiAAAAZHJzL2Rvd25yZXYueG1sUEsBAhQAFAAAAAgAh07iQLabXl8WAgAA&#10;PQQAAA4AAAAAAAAAAQAgAAAAKgEAAGRycy9lMm9Eb2MueG1sUEsFBgAAAAAGAAYAWQEAALIFAAAA&#10;AA==&#10;">
              <v:fill on="t" focussize="0,0"/>
              <v:stroke on="f"/>
              <v:imagedata o:title=""/>
              <o:lock v:ext="edit" aspectratio="f"/>
              <v:textbox inset="0.5mm,0.5mm,0.5mm,0.5mm">
                <w:txbxContent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Mazowiecka Jednostka Wdrażania Programów Unijnych</w:t>
                    </w:r>
                  </w:p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ul. Inflancka 4, 00-189 Warszawa</w:t>
                    </w:r>
                  </w:p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tel. (22) 542 20 00, fax (22) 698 31 44</w:t>
                    </w:r>
                  </w:p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www.fundusze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mazowsza.eu </w:t>
                    </w:r>
                  </w:p>
                  <w:p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8"/>
      <w:tabs>
        <w:tab w:val="left" w:pos="6930"/>
        <w:tab w:val="clear" w:pos="4536"/>
        <w:tab w:val="clear" w:pos="9072"/>
      </w:tabs>
      <w:ind w:right="-1"/>
    </w:pPr>
    <w:r>
      <w:tab/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6052185</wp:posOffset>
          </wp:positionH>
          <wp:positionV relativeFrom="paragraph">
            <wp:posOffset>-131445</wp:posOffset>
          </wp:positionV>
          <wp:extent cx="3362325" cy="1056640"/>
          <wp:effectExtent l="0" t="0" r="9525" b="0"/>
          <wp:wrapNone/>
          <wp:docPr id="7" name="Obraz 7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93345</wp:posOffset>
              </wp:positionV>
              <wp:extent cx="3532505" cy="699770"/>
              <wp:effectExtent l="0" t="0" r="0" b="508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250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Mazowiecka Jednostka Wdrażania Programów Unijnych</w:t>
                          </w:r>
                        </w:p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ul. Inflancka 4, 00-189 Warszawa</w:t>
                          </w:r>
                        </w:p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tel. (22) 542 20 00, fax (22) 698 31 44</w:t>
                          </w:r>
                        </w:p>
                        <w:p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mazowsza.eu 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0.45pt;margin-top:7.35pt;height:55.1pt;width:278.15pt;z-index:251660288;mso-width-relative:page;mso-height-relative:page;" fillcolor="#FFFFFF" filled="t" stroked="f" coordsize="21600,21600" o:gfxdata="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NWIo9gAAAAHAQAADwAA&#10;AAAAAAABACAAAAAiAAAAZHJzL2Rvd25yZXYueG1sUEsBAhQAFAAAAAgAh07iQNGBaiIWAgAAPQQA&#10;AA4AAAAAAAAAAQAgAAAAJwEAAGRycy9lMm9Eb2MueG1sUEsFBgAAAAAGAAYAWQEAAK8FAAAAAA==&#10;">
              <v:fill on="t" focussize="0,0"/>
              <v:stroke on="f"/>
              <v:imagedata o:title=""/>
              <o:lock v:ext="edit" aspectratio="f"/>
              <v:textbox inset="0.5mm,0.5mm,0.5mm,0.5mm">
                <w:txbxContent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Mazowiecka Jednostka Wdrażania Programów Unijnych</w:t>
                    </w:r>
                  </w:p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ul. Inflancka 4, 00-189 Warszawa</w:t>
                    </w:r>
                  </w:p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tel. (22) 542 20 00, fax (22) 698 31 44</w:t>
                    </w:r>
                  </w:p>
                  <w:p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www.fundusze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mazowsza.eu </w:t>
                    </w:r>
                  </w:p>
                  <w:p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8"/>
      <w:tabs>
        <w:tab w:val="left" w:pos="6540"/>
        <w:tab w:val="clear" w:pos="4536"/>
        <w:tab w:val="clear" w:pos="9072"/>
      </w:tabs>
      <w:ind w:right="-1"/>
    </w:pPr>
    <w:r>
      <w:tab/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D5CD2"/>
    <w:multiLevelType w:val="multilevel"/>
    <w:tmpl w:val="1C0D5C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620EED"/>
    <w:multiLevelType w:val="multilevel"/>
    <w:tmpl w:val="20620EED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F05"/>
    <w:rsid w:val="000031F5"/>
    <w:rsid w:val="00003E85"/>
    <w:rsid w:val="00003FA3"/>
    <w:rsid w:val="00010559"/>
    <w:rsid w:val="00011F0E"/>
    <w:rsid w:val="00012FD9"/>
    <w:rsid w:val="0001340D"/>
    <w:rsid w:val="00013564"/>
    <w:rsid w:val="00015633"/>
    <w:rsid w:val="000156B5"/>
    <w:rsid w:val="00021C1B"/>
    <w:rsid w:val="00025A20"/>
    <w:rsid w:val="00034BCC"/>
    <w:rsid w:val="00036EF2"/>
    <w:rsid w:val="00037863"/>
    <w:rsid w:val="00041A25"/>
    <w:rsid w:val="00050976"/>
    <w:rsid w:val="00057E63"/>
    <w:rsid w:val="000630CE"/>
    <w:rsid w:val="00063641"/>
    <w:rsid w:val="000714F7"/>
    <w:rsid w:val="00072273"/>
    <w:rsid w:val="00072818"/>
    <w:rsid w:val="00072AA4"/>
    <w:rsid w:val="00077B52"/>
    <w:rsid w:val="00081CCE"/>
    <w:rsid w:val="00083423"/>
    <w:rsid w:val="00083E9E"/>
    <w:rsid w:val="0008573F"/>
    <w:rsid w:val="00085E3D"/>
    <w:rsid w:val="00094943"/>
    <w:rsid w:val="000A231C"/>
    <w:rsid w:val="000A2B55"/>
    <w:rsid w:val="000A2F8B"/>
    <w:rsid w:val="000A3B5A"/>
    <w:rsid w:val="000B1B22"/>
    <w:rsid w:val="000B31C1"/>
    <w:rsid w:val="000B5A1C"/>
    <w:rsid w:val="000C00F8"/>
    <w:rsid w:val="000C0866"/>
    <w:rsid w:val="000C2C0E"/>
    <w:rsid w:val="000C4763"/>
    <w:rsid w:val="000C60FD"/>
    <w:rsid w:val="000C6B33"/>
    <w:rsid w:val="000C6BBC"/>
    <w:rsid w:val="000C6D48"/>
    <w:rsid w:val="000C7472"/>
    <w:rsid w:val="000C7F30"/>
    <w:rsid w:val="000D5F20"/>
    <w:rsid w:val="000D62A6"/>
    <w:rsid w:val="000D73DF"/>
    <w:rsid w:val="000E016B"/>
    <w:rsid w:val="000E0DD8"/>
    <w:rsid w:val="000E5BAF"/>
    <w:rsid w:val="000E5F92"/>
    <w:rsid w:val="000F331B"/>
    <w:rsid w:val="000F34A2"/>
    <w:rsid w:val="000F689A"/>
    <w:rsid w:val="000F75EA"/>
    <w:rsid w:val="00100494"/>
    <w:rsid w:val="0010684E"/>
    <w:rsid w:val="00111BD5"/>
    <w:rsid w:val="001123A0"/>
    <w:rsid w:val="00113072"/>
    <w:rsid w:val="00113BBF"/>
    <w:rsid w:val="00116084"/>
    <w:rsid w:val="0012219C"/>
    <w:rsid w:val="00132AE0"/>
    <w:rsid w:val="00136CB8"/>
    <w:rsid w:val="00142C72"/>
    <w:rsid w:val="00143652"/>
    <w:rsid w:val="001439D4"/>
    <w:rsid w:val="0014463F"/>
    <w:rsid w:val="00146054"/>
    <w:rsid w:val="001465A1"/>
    <w:rsid w:val="001538DA"/>
    <w:rsid w:val="001538F5"/>
    <w:rsid w:val="00154B07"/>
    <w:rsid w:val="001553D4"/>
    <w:rsid w:val="0015582E"/>
    <w:rsid w:val="00155AD8"/>
    <w:rsid w:val="0015795B"/>
    <w:rsid w:val="0016059F"/>
    <w:rsid w:val="00161C08"/>
    <w:rsid w:val="00163364"/>
    <w:rsid w:val="00170142"/>
    <w:rsid w:val="00171C6E"/>
    <w:rsid w:val="00171EBC"/>
    <w:rsid w:val="001724A7"/>
    <w:rsid w:val="00172A27"/>
    <w:rsid w:val="00174DDD"/>
    <w:rsid w:val="001761C8"/>
    <w:rsid w:val="0017728C"/>
    <w:rsid w:val="001815CB"/>
    <w:rsid w:val="00184EBE"/>
    <w:rsid w:val="001858A5"/>
    <w:rsid w:val="00187B1B"/>
    <w:rsid w:val="0019434F"/>
    <w:rsid w:val="001959B6"/>
    <w:rsid w:val="001959D3"/>
    <w:rsid w:val="0019741D"/>
    <w:rsid w:val="001B0BC9"/>
    <w:rsid w:val="001B2792"/>
    <w:rsid w:val="001B2D24"/>
    <w:rsid w:val="001B5DF9"/>
    <w:rsid w:val="001B666F"/>
    <w:rsid w:val="001B6BCE"/>
    <w:rsid w:val="001B7CEB"/>
    <w:rsid w:val="001C05EE"/>
    <w:rsid w:val="001C0F07"/>
    <w:rsid w:val="001C1FB2"/>
    <w:rsid w:val="001D0CCD"/>
    <w:rsid w:val="001D23D3"/>
    <w:rsid w:val="001D324A"/>
    <w:rsid w:val="001D4495"/>
    <w:rsid w:val="001D6267"/>
    <w:rsid w:val="001E0FE2"/>
    <w:rsid w:val="001E1CD3"/>
    <w:rsid w:val="001E2755"/>
    <w:rsid w:val="001E5599"/>
    <w:rsid w:val="001F1741"/>
    <w:rsid w:val="001F4F58"/>
    <w:rsid w:val="001F660E"/>
    <w:rsid w:val="001F67F1"/>
    <w:rsid w:val="001F6DF1"/>
    <w:rsid w:val="00200732"/>
    <w:rsid w:val="00205C83"/>
    <w:rsid w:val="002073AB"/>
    <w:rsid w:val="00211DB6"/>
    <w:rsid w:val="002147E8"/>
    <w:rsid w:val="00215918"/>
    <w:rsid w:val="00216CC1"/>
    <w:rsid w:val="0022332A"/>
    <w:rsid w:val="00224EB2"/>
    <w:rsid w:val="002266E2"/>
    <w:rsid w:val="0023152C"/>
    <w:rsid w:val="00232386"/>
    <w:rsid w:val="00234BA3"/>
    <w:rsid w:val="002362CE"/>
    <w:rsid w:val="002379EF"/>
    <w:rsid w:val="00240F42"/>
    <w:rsid w:val="00245B03"/>
    <w:rsid w:val="00247C4E"/>
    <w:rsid w:val="00252AAD"/>
    <w:rsid w:val="00254847"/>
    <w:rsid w:val="00260DC1"/>
    <w:rsid w:val="0026585B"/>
    <w:rsid w:val="00266D5D"/>
    <w:rsid w:val="00270930"/>
    <w:rsid w:val="002715B8"/>
    <w:rsid w:val="00272BC1"/>
    <w:rsid w:val="002756D5"/>
    <w:rsid w:val="002904CF"/>
    <w:rsid w:val="00290DB9"/>
    <w:rsid w:val="00293ACF"/>
    <w:rsid w:val="00294864"/>
    <w:rsid w:val="002A38BD"/>
    <w:rsid w:val="002A6BF2"/>
    <w:rsid w:val="002A6EEC"/>
    <w:rsid w:val="002B10E7"/>
    <w:rsid w:val="002C1B79"/>
    <w:rsid w:val="002C6F33"/>
    <w:rsid w:val="002D1E2B"/>
    <w:rsid w:val="002D316F"/>
    <w:rsid w:val="002D3757"/>
    <w:rsid w:val="002E0D30"/>
    <w:rsid w:val="002E1D5C"/>
    <w:rsid w:val="002E628A"/>
    <w:rsid w:val="002F3DE3"/>
    <w:rsid w:val="002F4C1D"/>
    <w:rsid w:val="003039B8"/>
    <w:rsid w:val="00303BA8"/>
    <w:rsid w:val="003048C8"/>
    <w:rsid w:val="003073BF"/>
    <w:rsid w:val="00311818"/>
    <w:rsid w:val="0031738F"/>
    <w:rsid w:val="00317CF5"/>
    <w:rsid w:val="00320B2F"/>
    <w:rsid w:val="00322C88"/>
    <w:rsid w:val="00327874"/>
    <w:rsid w:val="00330515"/>
    <w:rsid w:val="00334047"/>
    <w:rsid w:val="00335C15"/>
    <w:rsid w:val="00336EA1"/>
    <w:rsid w:val="003404EC"/>
    <w:rsid w:val="0034480E"/>
    <w:rsid w:val="003507A4"/>
    <w:rsid w:val="00361267"/>
    <w:rsid w:val="00363202"/>
    <w:rsid w:val="00363F5D"/>
    <w:rsid w:val="00365F00"/>
    <w:rsid w:val="00366C2B"/>
    <w:rsid w:val="003678C1"/>
    <w:rsid w:val="00371539"/>
    <w:rsid w:val="003725F4"/>
    <w:rsid w:val="0037764B"/>
    <w:rsid w:val="003820A9"/>
    <w:rsid w:val="00387B05"/>
    <w:rsid w:val="00387FC5"/>
    <w:rsid w:val="00390823"/>
    <w:rsid w:val="00393123"/>
    <w:rsid w:val="00393E58"/>
    <w:rsid w:val="003958BE"/>
    <w:rsid w:val="003B68ED"/>
    <w:rsid w:val="003C3BD9"/>
    <w:rsid w:val="003D01C1"/>
    <w:rsid w:val="003D2267"/>
    <w:rsid w:val="003D3A87"/>
    <w:rsid w:val="003D5960"/>
    <w:rsid w:val="003D7410"/>
    <w:rsid w:val="003E5C8B"/>
    <w:rsid w:val="003E76FC"/>
    <w:rsid w:val="003F0E07"/>
    <w:rsid w:val="003F15BB"/>
    <w:rsid w:val="003F3111"/>
    <w:rsid w:val="00410144"/>
    <w:rsid w:val="00422621"/>
    <w:rsid w:val="00422E0C"/>
    <w:rsid w:val="00423AF9"/>
    <w:rsid w:val="00427585"/>
    <w:rsid w:val="00433488"/>
    <w:rsid w:val="00434C5B"/>
    <w:rsid w:val="00440379"/>
    <w:rsid w:val="00441F61"/>
    <w:rsid w:val="00445819"/>
    <w:rsid w:val="00446601"/>
    <w:rsid w:val="004510A6"/>
    <w:rsid w:val="004550DA"/>
    <w:rsid w:val="00456A93"/>
    <w:rsid w:val="00460675"/>
    <w:rsid w:val="00460EEB"/>
    <w:rsid w:val="004634F0"/>
    <w:rsid w:val="00463BF8"/>
    <w:rsid w:val="00464BE5"/>
    <w:rsid w:val="00471904"/>
    <w:rsid w:val="0047329E"/>
    <w:rsid w:val="0048719F"/>
    <w:rsid w:val="00487E17"/>
    <w:rsid w:val="0049199E"/>
    <w:rsid w:val="004944AD"/>
    <w:rsid w:val="004A748E"/>
    <w:rsid w:val="004B5748"/>
    <w:rsid w:val="004B7B8B"/>
    <w:rsid w:val="004C5651"/>
    <w:rsid w:val="004C5EE2"/>
    <w:rsid w:val="004C6654"/>
    <w:rsid w:val="004D5C66"/>
    <w:rsid w:val="004D5E74"/>
    <w:rsid w:val="004D6857"/>
    <w:rsid w:val="004E0695"/>
    <w:rsid w:val="004E06FA"/>
    <w:rsid w:val="004E7A57"/>
    <w:rsid w:val="004F1F69"/>
    <w:rsid w:val="004F4954"/>
    <w:rsid w:val="004F60F8"/>
    <w:rsid w:val="0050697E"/>
    <w:rsid w:val="0050791E"/>
    <w:rsid w:val="00514CDA"/>
    <w:rsid w:val="00515F94"/>
    <w:rsid w:val="00517054"/>
    <w:rsid w:val="00521100"/>
    <w:rsid w:val="00527178"/>
    <w:rsid w:val="005347A7"/>
    <w:rsid w:val="00535D31"/>
    <w:rsid w:val="00542F7E"/>
    <w:rsid w:val="00543187"/>
    <w:rsid w:val="00545A4B"/>
    <w:rsid w:val="00551C20"/>
    <w:rsid w:val="005540D4"/>
    <w:rsid w:val="00556382"/>
    <w:rsid w:val="00556BDA"/>
    <w:rsid w:val="0056279F"/>
    <w:rsid w:val="005643DF"/>
    <w:rsid w:val="005643F9"/>
    <w:rsid w:val="005723E9"/>
    <w:rsid w:val="00574ABB"/>
    <w:rsid w:val="005760D0"/>
    <w:rsid w:val="005767F2"/>
    <w:rsid w:val="005A1CF4"/>
    <w:rsid w:val="005A60B3"/>
    <w:rsid w:val="005A71BE"/>
    <w:rsid w:val="005B14C1"/>
    <w:rsid w:val="005B1CB3"/>
    <w:rsid w:val="005B2DB4"/>
    <w:rsid w:val="005B49CF"/>
    <w:rsid w:val="005B57D6"/>
    <w:rsid w:val="005C3EBE"/>
    <w:rsid w:val="005C6334"/>
    <w:rsid w:val="005C7E51"/>
    <w:rsid w:val="005D0F1C"/>
    <w:rsid w:val="005D180D"/>
    <w:rsid w:val="005D5DEA"/>
    <w:rsid w:val="005D6381"/>
    <w:rsid w:val="005D7631"/>
    <w:rsid w:val="005E1DE6"/>
    <w:rsid w:val="005E4FB0"/>
    <w:rsid w:val="005E74C1"/>
    <w:rsid w:val="005E790D"/>
    <w:rsid w:val="005F1323"/>
    <w:rsid w:val="005F4EFA"/>
    <w:rsid w:val="005F6764"/>
    <w:rsid w:val="00603109"/>
    <w:rsid w:val="00605076"/>
    <w:rsid w:val="00607D36"/>
    <w:rsid w:val="006101B6"/>
    <w:rsid w:val="00624617"/>
    <w:rsid w:val="00624BB7"/>
    <w:rsid w:val="00626B3F"/>
    <w:rsid w:val="00627562"/>
    <w:rsid w:val="00627973"/>
    <w:rsid w:val="00627D87"/>
    <w:rsid w:val="00633DA5"/>
    <w:rsid w:val="006343A4"/>
    <w:rsid w:val="00641123"/>
    <w:rsid w:val="0064211B"/>
    <w:rsid w:val="00647837"/>
    <w:rsid w:val="0064789A"/>
    <w:rsid w:val="00652316"/>
    <w:rsid w:val="00654996"/>
    <w:rsid w:val="006552C5"/>
    <w:rsid w:val="00656B24"/>
    <w:rsid w:val="00662BA0"/>
    <w:rsid w:val="0066442D"/>
    <w:rsid w:val="00665081"/>
    <w:rsid w:val="00671132"/>
    <w:rsid w:val="006712E4"/>
    <w:rsid w:val="006723B2"/>
    <w:rsid w:val="00672BD9"/>
    <w:rsid w:val="00675C4D"/>
    <w:rsid w:val="00677460"/>
    <w:rsid w:val="0069199D"/>
    <w:rsid w:val="006931ED"/>
    <w:rsid w:val="00696841"/>
    <w:rsid w:val="006A4F43"/>
    <w:rsid w:val="006A6704"/>
    <w:rsid w:val="006B5ED2"/>
    <w:rsid w:val="006B6CFD"/>
    <w:rsid w:val="006B6EE5"/>
    <w:rsid w:val="006C5F8D"/>
    <w:rsid w:val="006D0199"/>
    <w:rsid w:val="006D2EFA"/>
    <w:rsid w:val="006D4249"/>
    <w:rsid w:val="006D79D1"/>
    <w:rsid w:val="006E07D0"/>
    <w:rsid w:val="006E3BFD"/>
    <w:rsid w:val="006E71F4"/>
    <w:rsid w:val="006F0AFA"/>
    <w:rsid w:val="006F2835"/>
    <w:rsid w:val="0070513C"/>
    <w:rsid w:val="00711232"/>
    <w:rsid w:val="00716A62"/>
    <w:rsid w:val="00717439"/>
    <w:rsid w:val="0072056D"/>
    <w:rsid w:val="00722C2A"/>
    <w:rsid w:val="0072573C"/>
    <w:rsid w:val="007257EC"/>
    <w:rsid w:val="00725BF6"/>
    <w:rsid w:val="00732A92"/>
    <w:rsid w:val="00732E0F"/>
    <w:rsid w:val="00736836"/>
    <w:rsid w:val="007377FD"/>
    <w:rsid w:val="00740453"/>
    <w:rsid w:val="007409B5"/>
    <w:rsid w:val="00741A6B"/>
    <w:rsid w:val="00743557"/>
    <w:rsid w:val="007520B6"/>
    <w:rsid w:val="007637E6"/>
    <w:rsid w:val="007641C6"/>
    <w:rsid w:val="00765C6D"/>
    <w:rsid w:val="00766FB0"/>
    <w:rsid w:val="00767FDB"/>
    <w:rsid w:val="00770B91"/>
    <w:rsid w:val="00772956"/>
    <w:rsid w:val="0077781F"/>
    <w:rsid w:val="00782203"/>
    <w:rsid w:val="0078234A"/>
    <w:rsid w:val="00782A83"/>
    <w:rsid w:val="00784B37"/>
    <w:rsid w:val="007870B9"/>
    <w:rsid w:val="00787678"/>
    <w:rsid w:val="00787726"/>
    <w:rsid w:val="00791DAF"/>
    <w:rsid w:val="00796CAE"/>
    <w:rsid w:val="007A0086"/>
    <w:rsid w:val="007A072E"/>
    <w:rsid w:val="007A073B"/>
    <w:rsid w:val="007A2021"/>
    <w:rsid w:val="007A359F"/>
    <w:rsid w:val="007A52C7"/>
    <w:rsid w:val="007A62B7"/>
    <w:rsid w:val="007B2BD5"/>
    <w:rsid w:val="007B2D6F"/>
    <w:rsid w:val="007B4543"/>
    <w:rsid w:val="007B5B5D"/>
    <w:rsid w:val="007B7647"/>
    <w:rsid w:val="007C137A"/>
    <w:rsid w:val="007C1C8E"/>
    <w:rsid w:val="007C59BE"/>
    <w:rsid w:val="007D3EC2"/>
    <w:rsid w:val="007D4BCB"/>
    <w:rsid w:val="007D6EBD"/>
    <w:rsid w:val="007E16B2"/>
    <w:rsid w:val="007E16D1"/>
    <w:rsid w:val="007E467E"/>
    <w:rsid w:val="007E5602"/>
    <w:rsid w:val="007E79CA"/>
    <w:rsid w:val="007F5341"/>
    <w:rsid w:val="0080226F"/>
    <w:rsid w:val="00802683"/>
    <w:rsid w:val="00810FA3"/>
    <w:rsid w:val="0081400A"/>
    <w:rsid w:val="008164A5"/>
    <w:rsid w:val="0081675B"/>
    <w:rsid w:val="00820A91"/>
    <w:rsid w:val="00820B33"/>
    <w:rsid w:val="00820D85"/>
    <w:rsid w:val="00821788"/>
    <w:rsid w:val="00821F2C"/>
    <w:rsid w:val="0082577B"/>
    <w:rsid w:val="008276EC"/>
    <w:rsid w:val="00830771"/>
    <w:rsid w:val="00832256"/>
    <w:rsid w:val="00832C24"/>
    <w:rsid w:val="00834547"/>
    <w:rsid w:val="00834D4E"/>
    <w:rsid w:val="00836494"/>
    <w:rsid w:val="00837287"/>
    <w:rsid w:val="00837676"/>
    <w:rsid w:val="0084086F"/>
    <w:rsid w:val="00841B2D"/>
    <w:rsid w:val="00842AA0"/>
    <w:rsid w:val="00845E20"/>
    <w:rsid w:val="0084675C"/>
    <w:rsid w:val="00846852"/>
    <w:rsid w:val="00851DEF"/>
    <w:rsid w:val="0085311C"/>
    <w:rsid w:val="008533AA"/>
    <w:rsid w:val="00867EA0"/>
    <w:rsid w:val="0087004D"/>
    <w:rsid w:val="00872D0B"/>
    <w:rsid w:val="00875D60"/>
    <w:rsid w:val="00876427"/>
    <w:rsid w:val="00883B7E"/>
    <w:rsid w:val="0088578B"/>
    <w:rsid w:val="0089160F"/>
    <w:rsid w:val="00891EE0"/>
    <w:rsid w:val="00895AC1"/>
    <w:rsid w:val="00895BB7"/>
    <w:rsid w:val="008966AE"/>
    <w:rsid w:val="00896CF4"/>
    <w:rsid w:val="008A18B9"/>
    <w:rsid w:val="008A4F6E"/>
    <w:rsid w:val="008A5B30"/>
    <w:rsid w:val="008C4C89"/>
    <w:rsid w:val="008C53A1"/>
    <w:rsid w:val="008C68B3"/>
    <w:rsid w:val="008D16E0"/>
    <w:rsid w:val="008D378B"/>
    <w:rsid w:val="008E0674"/>
    <w:rsid w:val="008E1A50"/>
    <w:rsid w:val="008E20BB"/>
    <w:rsid w:val="008E25A7"/>
    <w:rsid w:val="008E44A1"/>
    <w:rsid w:val="008E7E2E"/>
    <w:rsid w:val="008F183F"/>
    <w:rsid w:val="008F31CA"/>
    <w:rsid w:val="008F3417"/>
    <w:rsid w:val="008F39A6"/>
    <w:rsid w:val="008F4A0F"/>
    <w:rsid w:val="008F6113"/>
    <w:rsid w:val="008F64D0"/>
    <w:rsid w:val="008F6B0D"/>
    <w:rsid w:val="009025A6"/>
    <w:rsid w:val="00902CA8"/>
    <w:rsid w:val="00903BBD"/>
    <w:rsid w:val="00905A21"/>
    <w:rsid w:val="00906242"/>
    <w:rsid w:val="0090704A"/>
    <w:rsid w:val="00911B20"/>
    <w:rsid w:val="00913FA7"/>
    <w:rsid w:val="00914FD3"/>
    <w:rsid w:val="00917EA1"/>
    <w:rsid w:val="009208ED"/>
    <w:rsid w:val="009230F6"/>
    <w:rsid w:val="0092354E"/>
    <w:rsid w:val="0092371A"/>
    <w:rsid w:val="00924F0D"/>
    <w:rsid w:val="009317DC"/>
    <w:rsid w:val="00933F6F"/>
    <w:rsid w:val="009354EE"/>
    <w:rsid w:val="00935C29"/>
    <w:rsid w:val="00940B0F"/>
    <w:rsid w:val="00940CE9"/>
    <w:rsid w:val="00941838"/>
    <w:rsid w:val="00944352"/>
    <w:rsid w:val="009507BB"/>
    <w:rsid w:val="0095177E"/>
    <w:rsid w:val="00951CAC"/>
    <w:rsid w:val="0095275E"/>
    <w:rsid w:val="00953711"/>
    <w:rsid w:val="009626F4"/>
    <w:rsid w:val="0096467E"/>
    <w:rsid w:val="009679F8"/>
    <w:rsid w:val="00971AD0"/>
    <w:rsid w:val="00971BE2"/>
    <w:rsid w:val="0097205F"/>
    <w:rsid w:val="009728CA"/>
    <w:rsid w:val="0097580C"/>
    <w:rsid w:val="00976566"/>
    <w:rsid w:val="009768DA"/>
    <w:rsid w:val="00977A64"/>
    <w:rsid w:val="00985AF4"/>
    <w:rsid w:val="0098648A"/>
    <w:rsid w:val="00994566"/>
    <w:rsid w:val="00994A47"/>
    <w:rsid w:val="00996A78"/>
    <w:rsid w:val="009A71E0"/>
    <w:rsid w:val="009B0683"/>
    <w:rsid w:val="009B19B3"/>
    <w:rsid w:val="009B4E52"/>
    <w:rsid w:val="009C0445"/>
    <w:rsid w:val="009C5D04"/>
    <w:rsid w:val="009C6D5B"/>
    <w:rsid w:val="009D4E99"/>
    <w:rsid w:val="009E25D6"/>
    <w:rsid w:val="009E2B6D"/>
    <w:rsid w:val="009F215D"/>
    <w:rsid w:val="009F4FE7"/>
    <w:rsid w:val="00A01A42"/>
    <w:rsid w:val="00A076A2"/>
    <w:rsid w:val="00A1336D"/>
    <w:rsid w:val="00A2520D"/>
    <w:rsid w:val="00A272CA"/>
    <w:rsid w:val="00A27A05"/>
    <w:rsid w:val="00A30157"/>
    <w:rsid w:val="00A345F1"/>
    <w:rsid w:val="00A35720"/>
    <w:rsid w:val="00A3674B"/>
    <w:rsid w:val="00A45A68"/>
    <w:rsid w:val="00A45BED"/>
    <w:rsid w:val="00A46969"/>
    <w:rsid w:val="00A46C25"/>
    <w:rsid w:val="00A46D1F"/>
    <w:rsid w:val="00A47DE5"/>
    <w:rsid w:val="00A52776"/>
    <w:rsid w:val="00A53489"/>
    <w:rsid w:val="00A53869"/>
    <w:rsid w:val="00A577F6"/>
    <w:rsid w:val="00A62A42"/>
    <w:rsid w:val="00A62C09"/>
    <w:rsid w:val="00A67479"/>
    <w:rsid w:val="00A71C75"/>
    <w:rsid w:val="00A73026"/>
    <w:rsid w:val="00A73B5C"/>
    <w:rsid w:val="00A905C5"/>
    <w:rsid w:val="00A9128C"/>
    <w:rsid w:val="00A91F51"/>
    <w:rsid w:val="00A922E9"/>
    <w:rsid w:val="00A92551"/>
    <w:rsid w:val="00A9558F"/>
    <w:rsid w:val="00A96F5C"/>
    <w:rsid w:val="00A97B4E"/>
    <w:rsid w:val="00AA3CB3"/>
    <w:rsid w:val="00AA5CB2"/>
    <w:rsid w:val="00AB47AE"/>
    <w:rsid w:val="00AB57A6"/>
    <w:rsid w:val="00AD04F5"/>
    <w:rsid w:val="00AD3776"/>
    <w:rsid w:val="00AE0A26"/>
    <w:rsid w:val="00AE0BE7"/>
    <w:rsid w:val="00AE2383"/>
    <w:rsid w:val="00AE2455"/>
    <w:rsid w:val="00AF041E"/>
    <w:rsid w:val="00AF1A8E"/>
    <w:rsid w:val="00AF4C31"/>
    <w:rsid w:val="00AF6143"/>
    <w:rsid w:val="00AF62B6"/>
    <w:rsid w:val="00AF6C22"/>
    <w:rsid w:val="00AF72D7"/>
    <w:rsid w:val="00B00EDF"/>
    <w:rsid w:val="00B02579"/>
    <w:rsid w:val="00B04DEF"/>
    <w:rsid w:val="00B11E7B"/>
    <w:rsid w:val="00B1464D"/>
    <w:rsid w:val="00B15C6A"/>
    <w:rsid w:val="00B200FD"/>
    <w:rsid w:val="00B21329"/>
    <w:rsid w:val="00B275C5"/>
    <w:rsid w:val="00B316B7"/>
    <w:rsid w:val="00B31EFE"/>
    <w:rsid w:val="00B32532"/>
    <w:rsid w:val="00B3254B"/>
    <w:rsid w:val="00B35164"/>
    <w:rsid w:val="00B42732"/>
    <w:rsid w:val="00B54E93"/>
    <w:rsid w:val="00B56423"/>
    <w:rsid w:val="00B6342F"/>
    <w:rsid w:val="00B63847"/>
    <w:rsid w:val="00B64C7E"/>
    <w:rsid w:val="00B66681"/>
    <w:rsid w:val="00B71DD8"/>
    <w:rsid w:val="00B7354A"/>
    <w:rsid w:val="00B7588E"/>
    <w:rsid w:val="00B76FD3"/>
    <w:rsid w:val="00B81715"/>
    <w:rsid w:val="00B8287A"/>
    <w:rsid w:val="00B848BC"/>
    <w:rsid w:val="00B91C43"/>
    <w:rsid w:val="00B92619"/>
    <w:rsid w:val="00BA146E"/>
    <w:rsid w:val="00BA34D4"/>
    <w:rsid w:val="00BA536B"/>
    <w:rsid w:val="00BA62CF"/>
    <w:rsid w:val="00BA634B"/>
    <w:rsid w:val="00BA734A"/>
    <w:rsid w:val="00BA7623"/>
    <w:rsid w:val="00BB35A3"/>
    <w:rsid w:val="00BC0EA4"/>
    <w:rsid w:val="00BC6516"/>
    <w:rsid w:val="00BC6BFC"/>
    <w:rsid w:val="00BD059D"/>
    <w:rsid w:val="00BD22AA"/>
    <w:rsid w:val="00BD28C6"/>
    <w:rsid w:val="00BD3BB6"/>
    <w:rsid w:val="00BD5DE5"/>
    <w:rsid w:val="00BE06F2"/>
    <w:rsid w:val="00BE5A27"/>
    <w:rsid w:val="00BE5DBB"/>
    <w:rsid w:val="00BF0635"/>
    <w:rsid w:val="00BF1268"/>
    <w:rsid w:val="00BF1631"/>
    <w:rsid w:val="00BF39C5"/>
    <w:rsid w:val="00BF3DAF"/>
    <w:rsid w:val="00BF725C"/>
    <w:rsid w:val="00BF7A72"/>
    <w:rsid w:val="00C0116B"/>
    <w:rsid w:val="00C0408F"/>
    <w:rsid w:val="00C06CD3"/>
    <w:rsid w:val="00C20658"/>
    <w:rsid w:val="00C239E3"/>
    <w:rsid w:val="00C263AD"/>
    <w:rsid w:val="00C2779C"/>
    <w:rsid w:val="00C27C31"/>
    <w:rsid w:val="00C30885"/>
    <w:rsid w:val="00C3287D"/>
    <w:rsid w:val="00C3321B"/>
    <w:rsid w:val="00C34092"/>
    <w:rsid w:val="00C345EC"/>
    <w:rsid w:val="00C36209"/>
    <w:rsid w:val="00C40AF2"/>
    <w:rsid w:val="00C4246A"/>
    <w:rsid w:val="00C5032B"/>
    <w:rsid w:val="00C57F96"/>
    <w:rsid w:val="00C623DD"/>
    <w:rsid w:val="00C6481F"/>
    <w:rsid w:val="00C67D9E"/>
    <w:rsid w:val="00C7055E"/>
    <w:rsid w:val="00C71416"/>
    <w:rsid w:val="00C7403A"/>
    <w:rsid w:val="00C74E86"/>
    <w:rsid w:val="00C75D5B"/>
    <w:rsid w:val="00C76721"/>
    <w:rsid w:val="00C808BE"/>
    <w:rsid w:val="00C8261A"/>
    <w:rsid w:val="00C828DC"/>
    <w:rsid w:val="00C83C58"/>
    <w:rsid w:val="00C84C46"/>
    <w:rsid w:val="00C851E6"/>
    <w:rsid w:val="00C87014"/>
    <w:rsid w:val="00C947E0"/>
    <w:rsid w:val="00C94A90"/>
    <w:rsid w:val="00C94BA6"/>
    <w:rsid w:val="00C94ECD"/>
    <w:rsid w:val="00C95701"/>
    <w:rsid w:val="00C95BD1"/>
    <w:rsid w:val="00CA0978"/>
    <w:rsid w:val="00CA27FF"/>
    <w:rsid w:val="00CA4289"/>
    <w:rsid w:val="00CA55AF"/>
    <w:rsid w:val="00CA78FF"/>
    <w:rsid w:val="00CB142D"/>
    <w:rsid w:val="00CB506D"/>
    <w:rsid w:val="00CB7179"/>
    <w:rsid w:val="00CB76A8"/>
    <w:rsid w:val="00CC2C9B"/>
    <w:rsid w:val="00CC636B"/>
    <w:rsid w:val="00CD2273"/>
    <w:rsid w:val="00CD647F"/>
    <w:rsid w:val="00CE00B2"/>
    <w:rsid w:val="00CE1C62"/>
    <w:rsid w:val="00CF027F"/>
    <w:rsid w:val="00CF1758"/>
    <w:rsid w:val="00CF60DC"/>
    <w:rsid w:val="00CF65D3"/>
    <w:rsid w:val="00CF7BA2"/>
    <w:rsid w:val="00D02CAB"/>
    <w:rsid w:val="00D13762"/>
    <w:rsid w:val="00D13AB3"/>
    <w:rsid w:val="00D166BF"/>
    <w:rsid w:val="00D17FEC"/>
    <w:rsid w:val="00D2636B"/>
    <w:rsid w:val="00D2662E"/>
    <w:rsid w:val="00D27597"/>
    <w:rsid w:val="00D276E4"/>
    <w:rsid w:val="00D30D92"/>
    <w:rsid w:val="00D312B3"/>
    <w:rsid w:val="00D36F96"/>
    <w:rsid w:val="00D41699"/>
    <w:rsid w:val="00D41997"/>
    <w:rsid w:val="00D430E9"/>
    <w:rsid w:val="00D43C52"/>
    <w:rsid w:val="00D43E45"/>
    <w:rsid w:val="00D463D2"/>
    <w:rsid w:val="00D470AA"/>
    <w:rsid w:val="00D5020D"/>
    <w:rsid w:val="00D529E2"/>
    <w:rsid w:val="00D571E3"/>
    <w:rsid w:val="00D63EDF"/>
    <w:rsid w:val="00D7034F"/>
    <w:rsid w:val="00D70CE1"/>
    <w:rsid w:val="00D717EB"/>
    <w:rsid w:val="00D754EE"/>
    <w:rsid w:val="00D761C9"/>
    <w:rsid w:val="00D76C33"/>
    <w:rsid w:val="00D801E3"/>
    <w:rsid w:val="00D80810"/>
    <w:rsid w:val="00D85B6B"/>
    <w:rsid w:val="00D86A2C"/>
    <w:rsid w:val="00D87A73"/>
    <w:rsid w:val="00D9037F"/>
    <w:rsid w:val="00D9572A"/>
    <w:rsid w:val="00DA1E22"/>
    <w:rsid w:val="00DA49A8"/>
    <w:rsid w:val="00DA7309"/>
    <w:rsid w:val="00DB13C1"/>
    <w:rsid w:val="00DB1870"/>
    <w:rsid w:val="00DC1174"/>
    <w:rsid w:val="00DC51FC"/>
    <w:rsid w:val="00DD0718"/>
    <w:rsid w:val="00DD2D97"/>
    <w:rsid w:val="00DD3416"/>
    <w:rsid w:val="00DD7B73"/>
    <w:rsid w:val="00DE2DAB"/>
    <w:rsid w:val="00DE3E42"/>
    <w:rsid w:val="00DE4D52"/>
    <w:rsid w:val="00E00427"/>
    <w:rsid w:val="00E00822"/>
    <w:rsid w:val="00E07A49"/>
    <w:rsid w:val="00E10CAA"/>
    <w:rsid w:val="00E1322B"/>
    <w:rsid w:val="00E133B1"/>
    <w:rsid w:val="00E160A1"/>
    <w:rsid w:val="00E27F5F"/>
    <w:rsid w:val="00E30A63"/>
    <w:rsid w:val="00E31E44"/>
    <w:rsid w:val="00E33368"/>
    <w:rsid w:val="00E3387D"/>
    <w:rsid w:val="00E353E7"/>
    <w:rsid w:val="00E37160"/>
    <w:rsid w:val="00E40913"/>
    <w:rsid w:val="00E44FC4"/>
    <w:rsid w:val="00E460F6"/>
    <w:rsid w:val="00E47C31"/>
    <w:rsid w:val="00E50F5F"/>
    <w:rsid w:val="00E51264"/>
    <w:rsid w:val="00E52222"/>
    <w:rsid w:val="00E52C3A"/>
    <w:rsid w:val="00E536F7"/>
    <w:rsid w:val="00E56AB9"/>
    <w:rsid w:val="00E56BD0"/>
    <w:rsid w:val="00E6269E"/>
    <w:rsid w:val="00E63C0A"/>
    <w:rsid w:val="00E66AEC"/>
    <w:rsid w:val="00E67FE6"/>
    <w:rsid w:val="00E85298"/>
    <w:rsid w:val="00E852A2"/>
    <w:rsid w:val="00E855B3"/>
    <w:rsid w:val="00E90232"/>
    <w:rsid w:val="00E90446"/>
    <w:rsid w:val="00E90D46"/>
    <w:rsid w:val="00E90DB7"/>
    <w:rsid w:val="00E94C3D"/>
    <w:rsid w:val="00EA1587"/>
    <w:rsid w:val="00EA2222"/>
    <w:rsid w:val="00EA6640"/>
    <w:rsid w:val="00EB1896"/>
    <w:rsid w:val="00EB3E50"/>
    <w:rsid w:val="00EB4877"/>
    <w:rsid w:val="00EB6688"/>
    <w:rsid w:val="00ED244B"/>
    <w:rsid w:val="00ED28D0"/>
    <w:rsid w:val="00EE4414"/>
    <w:rsid w:val="00EE5270"/>
    <w:rsid w:val="00EE5A29"/>
    <w:rsid w:val="00EE6594"/>
    <w:rsid w:val="00EE65AB"/>
    <w:rsid w:val="00EE7E6F"/>
    <w:rsid w:val="00EF0C58"/>
    <w:rsid w:val="00F010A2"/>
    <w:rsid w:val="00F017A5"/>
    <w:rsid w:val="00F02F7C"/>
    <w:rsid w:val="00F0561E"/>
    <w:rsid w:val="00F10362"/>
    <w:rsid w:val="00F1616A"/>
    <w:rsid w:val="00F23E76"/>
    <w:rsid w:val="00F2419D"/>
    <w:rsid w:val="00F24356"/>
    <w:rsid w:val="00F258BA"/>
    <w:rsid w:val="00F25BC1"/>
    <w:rsid w:val="00F25D58"/>
    <w:rsid w:val="00F2623C"/>
    <w:rsid w:val="00F263CC"/>
    <w:rsid w:val="00F31A31"/>
    <w:rsid w:val="00F31D2F"/>
    <w:rsid w:val="00F36267"/>
    <w:rsid w:val="00F37C1B"/>
    <w:rsid w:val="00F40AD7"/>
    <w:rsid w:val="00F462D4"/>
    <w:rsid w:val="00F46751"/>
    <w:rsid w:val="00F47CCD"/>
    <w:rsid w:val="00F56036"/>
    <w:rsid w:val="00F56311"/>
    <w:rsid w:val="00F57D82"/>
    <w:rsid w:val="00F63FFE"/>
    <w:rsid w:val="00F76C0C"/>
    <w:rsid w:val="00F7721A"/>
    <w:rsid w:val="00F80FB0"/>
    <w:rsid w:val="00F830CA"/>
    <w:rsid w:val="00F860B8"/>
    <w:rsid w:val="00F976EC"/>
    <w:rsid w:val="00F97F11"/>
    <w:rsid w:val="00FA1A21"/>
    <w:rsid w:val="00FA4285"/>
    <w:rsid w:val="00FA7219"/>
    <w:rsid w:val="00FB122E"/>
    <w:rsid w:val="00FC3384"/>
    <w:rsid w:val="00FC45B6"/>
    <w:rsid w:val="00FC73E2"/>
    <w:rsid w:val="00FC792E"/>
    <w:rsid w:val="00FD2808"/>
    <w:rsid w:val="00FD2ED1"/>
    <w:rsid w:val="00FD3E6C"/>
    <w:rsid w:val="00FD3FC2"/>
    <w:rsid w:val="00FD4EF6"/>
    <w:rsid w:val="00FD7319"/>
    <w:rsid w:val="00FD7BAE"/>
    <w:rsid w:val="00FD7D9A"/>
    <w:rsid w:val="00FE138C"/>
    <w:rsid w:val="00FE7928"/>
    <w:rsid w:val="00FF0BD5"/>
    <w:rsid w:val="00FF1F1A"/>
    <w:rsid w:val="00FF5731"/>
    <w:rsid w:val="00FF79C1"/>
    <w:rsid w:val="077591F7"/>
    <w:rsid w:val="17B04A25"/>
    <w:rsid w:val="21C451C3"/>
    <w:rsid w:val="29B852D6"/>
    <w:rsid w:val="2B42300B"/>
    <w:rsid w:val="2C6B0FDC"/>
    <w:rsid w:val="3635448E"/>
    <w:rsid w:val="36701626"/>
    <w:rsid w:val="3F334292"/>
    <w:rsid w:val="45702597"/>
    <w:rsid w:val="49050138"/>
    <w:rsid w:val="4B8150A3"/>
    <w:rsid w:val="50E0A8DF"/>
    <w:rsid w:val="5E272791"/>
    <w:rsid w:val="63002DAB"/>
    <w:rsid w:val="65527F3F"/>
    <w:rsid w:val="6B347FEF"/>
    <w:rsid w:val="6D4915D5"/>
    <w:rsid w:val="720DB7E7"/>
    <w:rsid w:val="74B0CFEE"/>
    <w:rsid w:val="7BA30CBD"/>
    <w:rsid w:val="7C6F04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/>
      <w:sz w:val="24"/>
      <w:szCs w:val="20"/>
    </w:rPr>
  </w:style>
  <w:style w:type="paragraph" w:styleId="3">
    <w:name w:val="heading 2"/>
    <w:basedOn w:val="1"/>
    <w:next w:val="1"/>
    <w:link w:val="48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38"/>
    <w:unhideWhenUsed/>
    <w:qFormat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Body Text"/>
    <w:basedOn w:val="1"/>
    <w:link w:val="34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link w:val="29"/>
    <w:qFormat/>
    <w:uiPriority w:val="0"/>
    <w:pPr>
      <w:spacing w:after="0" w:line="240" w:lineRule="auto"/>
      <w:ind w:firstLine="708"/>
    </w:pPr>
    <w:rPr>
      <w:rFonts w:ascii="Times New Roman" w:hAnsi="Times New Roman" w:eastAsia="Times New Roman"/>
      <w:sz w:val="24"/>
      <w:szCs w:val="20"/>
      <w:lang w:eastAsia="pl-PL"/>
    </w:r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36"/>
    <w:unhideWhenUsed/>
    <w:qFormat/>
    <w:uiPriority w:val="99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12">
    <w:name w:val="annotation subject"/>
    <w:basedOn w:val="11"/>
    <w:next w:val="11"/>
    <w:link w:val="37"/>
    <w:semiHidden/>
    <w:unhideWhenUsed/>
    <w:qFormat/>
    <w:uiPriority w:val="99"/>
    <w:rPr>
      <w:rFonts w:eastAsia="Calibri"/>
      <w:b/>
      <w:bCs/>
      <w:lang w:eastAsia="en-US"/>
    </w:rPr>
  </w:style>
  <w:style w:type="character" w:styleId="13">
    <w:name w:val="endnote reference"/>
    <w:semiHidden/>
    <w:unhideWhenUsed/>
    <w:qFormat/>
    <w:uiPriority w:val="99"/>
    <w:rPr>
      <w:vertAlign w:val="superscript"/>
    </w:rPr>
  </w:style>
  <w:style w:type="paragraph" w:styleId="14">
    <w:name w:val="endnote text"/>
    <w:basedOn w:val="1"/>
    <w:link w:val="3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5">
    <w:name w:val="footer"/>
    <w:basedOn w:val="1"/>
    <w:link w:val="26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footnote reference"/>
    <w:qFormat/>
    <w:uiPriority w:val="99"/>
    <w:rPr>
      <w:vertAlign w:val="superscript"/>
    </w:rPr>
  </w:style>
  <w:style w:type="paragraph" w:styleId="17">
    <w:name w:val="footnote text"/>
    <w:basedOn w:val="1"/>
    <w:link w:val="32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4"/>
      <w:lang w:eastAsia="pl-PL"/>
    </w:rPr>
  </w:style>
  <w:style w:type="paragraph" w:styleId="18">
    <w:name w:val="header"/>
    <w:basedOn w:val="1"/>
    <w:link w:val="25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9">
    <w:name w:val="Hyperlink"/>
    <w:basedOn w:val="20"/>
    <w:qFormat/>
    <w:uiPriority w:val="99"/>
    <w:rPr>
      <w:color w:val="0000FF"/>
      <w:u w:val="single"/>
    </w:rPr>
  </w:style>
  <w:style w:type="character" w:customStyle="1" w:styleId="20">
    <w:name w:val="Domyślna czcionka akapitu1"/>
    <w:qFormat/>
    <w:uiPriority w:val="0"/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22">
    <w:name w:val="Strong"/>
    <w:qFormat/>
    <w:uiPriority w:val="22"/>
    <w:rPr>
      <w:b/>
      <w:bCs/>
    </w:rPr>
  </w:style>
  <w:style w:type="table" w:styleId="23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toc 5"/>
    <w:basedOn w:val="1"/>
    <w:next w:val="1"/>
    <w:semiHidden/>
    <w:qFormat/>
    <w:uiPriority w:val="0"/>
    <w:pPr>
      <w:spacing w:before="200" w:after="0" w:line="320" w:lineRule="atLeast"/>
      <w:ind w:left="880"/>
    </w:pPr>
    <w:rPr>
      <w:rFonts w:ascii="Arial" w:hAnsi="Arial" w:eastAsia="Times New Roman"/>
      <w:szCs w:val="20"/>
      <w:lang w:eastAsia="pl-PL"/>
    </w:rPr>
  </w:style>
  <w:style w:type="character" w:customStyle="1" w:styleId="25">
    <w:name w:val="Nagłówek Znak"/>
    <w:basedOn w:val="5"/>
    <w:link w:val="18"/>
    <w:qFormat/>
    <w:uiPriority w:val="0"/>
  </w:style>
  <w:style w:type="character" w:customStyle="1" w:styleId="26">
    <w:name w:val="Stopka Znak"/>
    <w:basedOn w:val="5"/>
    <w:link w:val="15"/>
    <w:qFormat/>
    <w:uiPriority w:val="0"/>
  </w:style>
  <w:style w:type="character" w:customStyle="1" w:styleId="27">
    <w:name w:val="Tekst dymka Znak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Tekst podstawowy wcięty Znak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30">
    <w:name w:val="Nagłówek Znak1"/>
    <w:qFormat/>
    <w:locked/>
    <w:uiPriority w:val="99"/>
    <w:rPr>
      <w:rFonts w:ascii="Arial" w:hAnsi="Arial"/>
      <w:sz w:val="22"/>
    </w:rPr>
  </w:style>
  <w:style w:type="character" w:customStyle="1" w:styleId="31">
    <w:name w:val="Tekst przypisu końcowego Znak"/>
    <w:link w:val="14"/>
    <w:semiHidden/>
    <w:qFormat/>
    <w:uiPriority w:val="99"/>
    <w:rPr>
      <w:sz w:val="20"/>
      <w:szCs w:val="20"/>
    </w:rPr>
  </w:style>
  <w:style w:type="character" w:customStyle="1" w:styleId="32">
    <w:name w:val="Tekst przypisu dolnego Znak"/>
    <w:link w:val="17"/>
    <w:qFormat/>
    <w:uiPriority w:val="99"/>
    <w:rPr>
      <w:rFonts w:ascii="Times New Roman" w:hAnsi="Times New Roman" w:eastAsia="Times New Roman" w:cs="Times New Roman"/>
      <w:sz w:val="20"/>
      <w:szCs w:val="24"/>
      <w:lang w:eastAsia="pl-PL"/>
    </w:rPr>
  </w:style>
  <w:style w:type="character" w:customStyle="1" w:styleId="33">
    <w:name w:val="Nagłówek 1 Znak"/>
    <w:link w:val="2"/>
    <w:qFormat/>
    <w:uiPriority w:val="0"/>
    <w:rPr>
      <w:rFonts w:ascii="Times New Roman" w:hAnsi="Times New Roman" w:eastAsia="Times New Roman"/>
      <w:sz w:val="24"/>
    </w:rPr>
  </w:style>
  <w:style w:type="character" w:customStyle="1" w:styleId="34">
    <w:name w:val="Tekst podstawowy Znak"/>
    <w:basedOn w:val="5"/>
    <w:link w:val="8"/>
    <w:semiHidden/>
    <w:qFormat/>
    <w:uiPriority w:val="99"/>
    <w:rPr>
      <w:sz w:val="22"/>
      <w:szCs w:val="22"/>
      <w:lang w:eastAsia="en-US"/>
    </w:rPr>
  </w:style>
  <w:style w:type="paragraph" w:customStyle="1" w:styleId="35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pl-PL" w:eastAsia="pl-PL" w:bidi="ar-SA"/>
    </w:rPr>
  </w:style>
  <w:style w:type="character" w:customStyle="1" w:styleId="36">
    <w:name w:val="Tekst komentarza Znak"/>
    <w:basedOn w:val="5"/>
    <w:link w:val="11"/>
    <w:qFormat/>
    <w:uiPriority w:val="99"/>
    <w:rPr>
      <w:rFonts w:eastAsia="Times New Roman"/>
    </w:rPr>
  </w:style>
  <w:style w:type="character" w:customStyle="1" w:styleId="37">
    <w:name w:val="Temat komentarza Znak"/>
    <w:basedOn w:val="36"/>
    <w:link w:val="12"/>
    <w:semiHidden/>
    <w:qFormat/>
    <w:uiPriority w:val="99"/>
    <w:rPr>
      <w:rFonts w:eastAsia="Times New Roman"/>
      <w:b/>
      <w:bCs/>
      <w:lang w:eastAsia="en-US"/>
    </w:rPr>
  </w:style>
  <w:style w:type="character" w:customStyle="1" w:styleId="38">
    <w:name w:val="Nagłówek 3 Znak"/>
    <w:basedOn w:val="5"/>
    <w:link w:val="4"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39">
    <w:name w:val="Tekst komentarza Znak1"/>
    <w:qFormat/>
    <w:locked/>
    <w:uiPriority w:val="99"/>
  </w:style>
  <w:style w:type="paragraph" w:customStyle="1" w:styleId="40">
    <w:name w:val="Poprawka1"/>
    <w:hidden/>
    <w:semiHidden/>
    <w:qFormat/>
    <w:uiPriority w:val="99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41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customStyle="1" w:styleId="42">
    <w:name w:val="normaltextrun"/>
    <w:basedOn w:val="5"/>
    <w:qFormat/>
    <w:uiPriority w:val="0"/>
  </w:style>
  <w:style w:type="character" w:customStyle="1" w:styleId="43">
    <w:name w:val="eop"/>
    <w:basedOn w:val="5"/>
    <w:qFormat/>
    <w:uiPriority w:val="0"/>
  </w:style>
  <w:style w:type="character" w:customStyle="1" w:styleId="44">
    <w:name w:val="contextualspellingandgrammarerror"/>
    <w:basedOn w:val="5"/>
    <w:qFormat/>
    <w:uiPriority w:val="0"/>
  </w:style>
  <w:style w:type="character" w:customStyle="1" w:styleId="45">
    <w:name w:val="tabchar"/>
    <w:basedOn w:val="5"/>
    <w:qFormat/>
    <w:uiPriority w:val="0"/>
  </w:style>
  <w:style w:type="character" w:customStyle="1" w:styleId="46">
    <w:name w:val="Font Style31"/>
    <w:basedOn w:val="5"/>
    <w:qFormat/>
    <w:uiPriority w:val="99"/>
    <w:rPr>
      <w:rFonts w:hint="eastAsia" w:ascii="Arial Unicode MS" w:hAnsi="Arial Unicode MS" w:eastAsia="Arial Unicode MS" w:cs="Arial Unicode MS"/>
      <w:color w:val="000000"/>
    </w:rPr>
  </w:style>
  <w:style w:type="paragraph" w:customStyle="1" w:styleId="47">
    <w:name w:val="Revision"/>
    <w:hidden/>
    <w:semiHidden/>
    <w:qFormat/>
    <w:uiPriority w:val="99"/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customStyle="1" w:styleId="48">
    <w:name w:val="Nagłówek 2 Znak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5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6" ma:contentTypeDescription="Utwórz nowy dokument." ma:contentTypeScope="" ma:versionID="715e4083e52b0241f57057f5b482210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73018dc47e3f907147527e195ce566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42E1C0-0D3F-45E4-A237-055E1C909353}">
  <ds:schemaRefs/>
</ds:datastoreItem>
</file>

<file path=customXml/itemProps3.xml><?xml version="1.0" encoding="utf-8"?>
<ds:datastoreItem xmlns:ds="http://schemas.openxmlformats.org/officeDocument/2006/customXml" ds:itemID="{BFE5B0AC-1FBF-4993-B22F-B587EF27EDE3}">
  <ds:schemaRefs/>
</ds:datastoreItem>
</file>

<file path=customXml/itemProps4.xml><?xml version="1.0" encoding="utf-8"?>
<ds:datastoreItem xmlns:ds="http://schemas.openxmlformats.org/officeDocument/2006/customXml" ds:itemID="{D978A358-3499-40E0-A077-E4C95E518F1C}">
  <ds:schemaRefs/>
</ds:datastoreItem>
</file>

<file path=customXml/itemProps5.xml><?xml version="1.0" encoding="utf-8"?>
<ds:datastoreItem xmlns:ds="http://schemas.openxmlformats.org/officeDocument/2006/customXml" ds:itemID="{B075B06F-1CD8-41B5-8552-5F671601D0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MJWPU</Company>
  <TotalTime>0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2023-12-03T20:21:00Z</dcterms:created>
  <dc:creator>mzacharzewska</dc:creator>
  <cp:lastModifiedBy>e.kroczek</cp:lastModifiedBy>
  <cp:lastPrinted>2023-08-21T12:29:00Z</cp:lastPrinted>
  <dcterms:modified xsi:type="dcterms:W3CDTF">2023-12-29T13:16:06Z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KSOProductBuildVer">
    <vt:lpwstr>1045-12.2.0.13359</vt:lpwstr>
  </property>
  <property fmtid="{D5CDD505-2E9C-101B-9397-08002B2CF9AE}" pid="4" name="ICV">
    <vt:lpwstr>7DAAB8EE70214E7A8B4BD287C65FFB49</vt:lpwstr>
  </property>
  <property fmtid="{D5CDD505-2E9C-101B-9397-08002B2CF9AE}" pid="5" name="MediaServiceImageTags">
    <vt:lpwstr/>
  </property>
</Properties>
</file>