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cs="Arial"/>
          <w:b/>
          <w:sz w:val="20"/>
          <w:szCs w:val="20"/>
        </w:rPr>
      </w:pPr>
    </w:p>
    <w:p>
      <w:pPr>
        <w:spacing w:before="120" w:after="120"/>
        <w:jc w:val="center"/>
        <w:rPr>
          <w:rFonts w:cs="Arial"/>
          <w:b/>
          <w:sz w:val="20"/>
          <w:szCs w:val="20"/>
        </w:rPr>
      </w:pPr>
    </w:p>
    <w:p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pStyle w:val="2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 xml:space="preserve">FEMA.08.04-IP.01-015/23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8.4 Integracja społeczno-zawodowa obywateli państw trzecich, Fundusze Europejskie dla Mazowsza 2021-2027, nastąpiła aktualizacja Regulaminu wyboru projektów.</w:t>
      </w:r>
    </w:p>
    <w:p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FEMA.08.04-IP.01-015/23</w:t>
      </w:r>
      <w:bookmarkEnd w:id="1"/>
    </w:p>
    <w:p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28"/>
              <w:widowControl w:val="0"/>
              <w:numPr>
                <w:ilvl w:val="0"/>
                <w:numId w:val="2"/>
              </w:numPr>
              <w:adjustRightInd w:val="0"/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bookmarkStart w:id="2" w:name="move35947392"/>
            <w:bookmarkStart w:id="3" w:name="_Toc141696807"/>
            <w:bookmarkStart w:id="4" w:name="_Toc36210501"/>
            <w:bookmarkStart w:id="5" w:name="_Toc52435986"/>
            <w:bookmarkStart w:id="6" w:name="_Toc35947536"/>
            <w:r>
              <w:rPr>
                <w:rFonts w:ascii="Arial" w:hAnsi="Arial" w:cs="Arial"/>
                <w:sz w:val="20"/>
                <w:szCs w:val="20"/>
              </w:rPr>
              <w:t xml:space="preserve">Rozdział 11. Jak złożyć wniosek o dofinansowanie  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</w:t>
            </w:r>
            <w:r>
              <w:rPr>
                <w:rFonts w:hint="default" w:ascii="Arial" w:hAnsi="Arial" w:cs="Arial"/>
                <w:sz w:val="20"/>
                <w:szCs w:val="20"/>
                <w:lang w:val="pl-PL" w:bidi="a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 05-12-2023 r. do godz. 23:59.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 05-01-2024 r. do godz. 23:59.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Wydłużenie terminu naboru wniosków zgodnie z decyzją Zarządu Województwa Mazowieckiego z dnia 5 grudnia 2023 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28"/>
              <w:widowControl w:val="0"/>
              <w:numPr>
                <w:ilvl w:val="0"/>
                <w:numId w:val="2"/>
              </w:numPr>
              <w:adjustRightInd w:val="0"/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7" w:name="_Toc3616"/>
            <w:bookmarkStart w:id="8" w:name="Bookmark20"/>
            <w:bookmarkStart w:id="9" w:name="_Toc148610689"/>
            <w:bookmarkStart w:id="10" w:name="_Toc52436001"/>
            <w:bookmarkStart w:id="11" w:name="_Toc35947554"/>
            <w:bookmarkStart w:id="12" w:name="_Toc2359"/>
            <w:bookmarkStart w:id="13" w:name="_Toc16331"/>
            <w:bookmarkStart w:id="14" w:name="_Toc7371"/>
            <w:bookmarkStart w:id="15" w:name="_Toc36210519"/>
            <w:bookmarkStart w:id="16" w:name="_Toc25287"/>
            <w:bookmarkStart w:id="17" w:name="_Toc10745"/>
            <w:bookmarkStart w:id="18" w:name="_Toc495"/>
            <w:bookmarkStart w:id="19" w:name="_Toc5674"/>
            <w:bookmarkStart w:id="20" w:name="_Toc473115190"/>
            <w:bookmarkStart w:id="21" w:name="_Toc17179"/>
            <w:bookmarkStart w:id="22" w:name="_Toc13109"/>
            <w:bookmarkStart w:id="23" w:name="_Toc4521"/>
            <w:bookmarkStart w:id="24" w:name="_Toc26350"/>
            <w:bookmarkStart w:id="25" w:name="_Toc21892"/>
            <w:bookmarkStart w:id="26" w:name="_Toc4850"/>
            <w:bookmarkStart w:id="27" w:name="_Toc26077"/>
            <w:r>
              <w:rPr>
                <w:rFonts w:ascii="Arial" w:hAnsi="Arial" w:cs="Arial"/>
                <w:color w:val="auto"/>
                <w:sz w:val="20"/>
                <w:szCs w:val="20"/>
              </w:rPr>
              <w:t>Rozdział 8.7 Podatek od towarów i usług (VAT)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projektach o wartości poniżej 5 mln EUR nie musisz składać oświadczenia o kwalifikowalności podatku od towarów i usług, ponieważ wydatki w ramach projektu mogą obejmować koszt podatku.</w:t>
            </w:r>
          </w:p>
          <w:p>
            <w:pPr>
              <w:pStyle w:val="1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Pamietaj!</w:t>
            </w:r>
          </w:p>
          <w:p>
            <w:pPr>
              <w:pStyle w:val="1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projekcie, którego łączny koszt wynosi co najmniej 5  mln EUR (włączając VAT), jest niekwalifikowalny, chyba że wskażesz na brak prawnej możliwości odzyskania podatku VAT zgodnie z przepisami prawa krajowego i pod warunkiem złożenia oświadczenia o kwalifikowalności podatku VAT – stanowiącego załącznik do minimalnego zakresu umowy o dofinansowanie projektu.</w:t>
            </w:r>
          </w:p>
          <w:p>
            <w:pPr>
              <w:pStyle w:val="1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podając podstawę prawną  wskaż dodatkowo wysokość podatku VAT, którego nie możesz odzyskać.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Twój projekt ma łączny koszt do 5 mln euro, to podatek VAT będzie wydatkiem kwalifikowanym, zgodnie z brzmieniem art. 64 ustęp 1 lit. c) pkt (i) rozporządzenia ogólnego. Wynika to z uprawnienia określonego w przepisach prawa unijnego. Niemniej jednak to na Tobie będzie spoczywało ryzyko zwrotu uzyskanych z tego tytułu środków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w przypadku stwierdzenia przez właściwą instytucję, że wydatek w zakresie VAT nie może być kwalifikowalny w związku z naruszeniem przez Ciebie powszechnie obowiązujących przepisów prawa, wytycznych itp.</w:t>
            </w:r>
          </w:p>
          <w:p>
            <w:pPr>
              <w:pStyle w:val="11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Pamiętaj!</w:t>
            </w:r>
          </w:p>
          <w:p>
            <w:pPr>
              <w:pStyle w:val="1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Podatek VAT w projekcie, którego łączny koszt wynosi co najmniej 5 mln EUR (włączając VAT), jest niekwalifikowalny, chyba że wskażesz na brak prawnej możliwości odzyskania podatku VAT zgodnie z przepisami prawa krajowego i pod warunkiem złożenia oświadczenia o kwalifikowalności podatku VAT – stanowiącego </w:t>
            </w:r>
            <w:r>
              <w:rPr>
                <w:rFonts w:ascii="Arial" w:hAnsi="Arial" w:cs="Arial"/>
                <w:sz w:val="20"/>
                <w:szCs w:val="20"/>
              </w:rPr>
              <w:t>załącznik nr 3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minimalnego zakresu umowy o dofinansowanie projektu.</w:t>
            </w:r>
          </w:p>
          <w:p>
            <w:pPr>
              <w:pStyle w:val="1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UWAGA: podając podstawę prawną  wskaż dodatkowo wysokość podatku VAT, którego nie możesz odzyskać. 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Doprecyzowanie zapisów w zakresie kwalifikowalności podatku od towarów i usług (VAT)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adjustRightInd w:val="0"/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3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Podrozdział 8.1 Wymaganie finansowe</w:t>
            </w: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 czym poziom dofinansowania twojego projektu UE musi wynosić </w:t>
            </w:r>
            <w:r>
              <w:rPr>
                <w:rFonts w:hint="default" w:ascii="Arial" w:hAnsi="Arial" w:cs="Arial"/>
                <w:lang w:val="pl-PL"/>
              </w:rPr>
              <w:t>50</w:t>
            </w:r>
            <w:r>
              <w:rPr>
                <w:rFonts w:ascii="Arial" w:hAnsi="Arial" w:cs="Arial"/>
              </w:rPr>
              <w:t xml:space="preserve">%, dlatego w sekcji l.3 Źródła finasowania w polu % dofinasowanie UE wprowadź wartość </w:t>
            </w:r>
            <w:r>
              <w:rPr>
                <w:rFonts w:hint="default" w:ascii="Arial" w:hAnsi="Arial" w:cs="Arial"/>
                <w:lang w:val="pl-PL"/>
              </w:rPr>
              <w:t>50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 xml:space="preserve">Doprecyzowanie wpisania we wniosku właściwego poziomu dofinansowania w sekcji I. 3 </w:t>
            </w:r>
            <w:r>
              <w:rPr>
                <w:rFonts w:ascii="Arial" w:hAnsi="Arial" w:cs="Arial"/>
                <w:sz w:val="20"/>
                <w:szCs w:val="20"/>
              </w:rPr>
              <w:t>Źródła finasowania w polu % dofinasowanie UE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 w:val="0"/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  <w:t>Podrozdział 18.1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Wymagania wynikające z przepisów dotyczących pomocy publicznej lub pomocy de minimis</w:t>
            </w: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Komisji (UE) nr 1407/2013 z dnia 18 grudnia 2013 r. w sprawie stosowania art. 107 i 108 Traktatu o funkcjonowaniu Unii Europejskiej do pomocy de 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.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Komisji (UE) nr 1407/2013 z dnia 18 grudnia 2013 r. w sprawie stosowania art. 107 i 108 Traktatu o funkcjonowaniu Unii Europejskiej do pomocy de minimis</w:t>
            </w:r>
            <w:bookmarkStart w:id="61" w:name="_GoBack"/>
            <w:r>
              <w:rPr>
                <w:rFonts w:hint="default" w:ascii="Arial" w:hAnsi="Arial" w:eastAsia="MS Mincho" w:cs="Arial"/>
                <w:b/>
                <w:bCs/>
                <w:sz w:val="20"/>
                <w:szCs w:val="20"/>
                <w:lang w:val="pl-PL" w:eastAsia="pl" w:bidi="ar"/>
              </w:rPr>
              <w:t xml:space="preserve"> lub przepisami je zastępującymi.</w:t>
            </w:r>
            <w:bookmarkEnd w:id="61"/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numId w:val="0"/>
              </w:numPr>
              <w:wordWrap w:val="0"/>
              <w:adjustRightInd w:val="0"/>
              <w:spacing w:after="0"/>
              <w:ind w:left="425" w:leftChars="0"/>
              <w:jc w:val="both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</w:p>
          <w:p>
            <w:pPr>
              <w:widowControl w:val="0"/>
              <w:numPr>
                <w:numId w:val="0"/>
              </w:numPr>
              <w:wordWrap w:val="0"/>
              <w:adjustRightInd w:val="0"/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  <w:t>Podrozdział 18.1</w:t>
            </w:r>
          </w:p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Wymagania wynikające z przepisów dotyczących pomocy publicznej lub pomocy de minimis</w:t>
            </w: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 lata 2021–2027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.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 lata 2021–2027</w:t>
            </w:r>
            <w:r>
              <w:rPr>
                <w:rFonts w:hint="default" w:ascii="Arial" w:hAnsi="Arial" w:eastAsia="MS Mincho" w:cs="Arial"/>
                <w:b/>
                <w:bCs/>
                <w:sz w:val="20"/>
                <w:szCs w:val="20"/>
                <w:lang w:val="pl-PL" w:eastAsia="pl" w:bidi="ar"/>
              </w:rPr>
              <w:t>lub przepisami je zastępującymi.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numId w:val="0"/>
              </w:numPr>
              <w:wordWrap w:val="0"/>
              <w:adjustRightInd w:val="0"/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l"/>
              </w:rPr>
            </w:pPr>
            <w:bookmarkStart w:id="28" w:name="_Toc4943"/>
            <w:bookmarkStart w:id="29" w:name="_Toc5536"/>
            <w:bookmarkStart w:id="30" w:name="_Toc27168"/>
            <w:bookmarkStart w:id="31" w:name="_Toc6380"/>
            <w:bookmarkStart w:id="32" w:name="_Toc15952"/>
            <w:bookmarkStart w:id="33" w:name="_Toc29873"/>
            <w:bookmarkStart w:id="34" w:name="_Toc32493349"/>
            <w:bookmarkStart w:id="35" w:name="_Toc776584"/>
            <w:bookmarkStart w:id="36" w:name="_Toc15045"/>
            <w:bookmarkStart w:id="37" w:name="_Toc2108"/>
            <w:bookmarkStart w:id="38" w:name="_Toc26329"/>
            <w:bookmarkStart w:id="39" w:name="_Toc473114214"/>
            <w:bookmarkStart w:id="40" w:name="_Toc15624286"/>
            <w:bookmarkStart w:id="41" w:name="_Toc507413968"/>
            <w:bookmarkStart w:id="42" w:name="_Toc148610708"/>
            <w:bookmarkStart w:id="43" w:name="_Toc6773"/>
            <w:bookmarkStart w:id="44" w:name="_Toc115938357"/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  <w:t xml:space="preserve">Podrozdział </w:t>
            </w: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" w:eastAsia="zh-CN" w:bidi="ar"/>
              </w:rPr>
              <w:t>18.2 Pomoc de minimis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(...)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Zgodnie z rozporządzeniem Komisji (UE) nr 1407/2013 z dnia 18 grudnia 2013 r. w sprawie stosowania art. 107 i 108 Traktatu o funkcjonowaniu Unii Europejskiej do pomocy de 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,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ogólna kwota pomocy de minimis przyznanej przez państwo członkowskie jednemu przedsiębiorstwu nie może przekroczyć 200.000 EUR w okresie ostatnich trzech lat podatkowych.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(...)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Zgodnie z rozporządzeniem Komisji (UE) nr 1407/2013 z dnia 18 grudnia 2013 r. w sprawie stosowania art. 107 i 108 Traktatu o funkcjonowaniu Unii Europejskiej do pomocy de 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, </w:t>
            </w:r>
            <w:r>
              <w:rPr>
                <w:rFonts w:hint="default" w:ascii="Arial" w:hAnsi="Arial" w:eastAsia="MS Mincho" w:cs="Arial"/>
                <w:b/>
                <w:bCs/>
                <w:i w:val="0"/>
                <w:iCs w:val="0"/>
                <w:sz w:val="20"/>
                <w:szCs w:val="20"/>
                <w:lang w:val="pl" w:eastAsia="pl" w:bidi="ar"/>
              </w:rPr>
              <w:t>zmienionym Rozporządzeniem Komisji (UE) 2020/972 z dnia 2 lipca 2020 r</w:t>
            </w:r>
            <w:r>
              <w:rPr>
                <w:rFonts w:hint="default" w:ascii="Arial" w:hAnsi="Arial" w:eastAsia="MS Mincho" w:cs="Arial"/>
                <w:b/>
                <w:bCs/>
                <w:i w:val="0"/>
                <w:iCs w:val="0"/>
                <w:sz w:val="20"/>
                <w:szCs w:val="20"/>
                <w:lang w:val="pl-PL" w:eastAsia="pl" w:bidi="ar"/>
              </w:rPr>
              <w:t xml:space="preserve">.,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ogólna kwota pomocy de minimis przyznanej przez państwo członkowskie jednemu przedsiębiorstwu nie może przekroczyć 200.000 EUR w okresie ostatnich trzech lat podatkowych.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numId w:val="0"/>
              </w:numPr>
              <w:wordWrap w:val="0"/>
              <w:adjustRightInd w:val="0"/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  <w:t xml:space="preserve">Podrozdział </w:t>
            </w: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" w:eastAsia="zh-CN" w:bidi="ar"/>
              </w:rPr>
              <w:t>18.2 Pomoc de minimis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  <w:lang w:val="pl"/>
              </w:rPr>
            </w:pPr>
            <w:r>
              <w:rPr>
                <w:rFonts w:hint="default" w:ascii="Arial" w:hAnsi="Arial" w:eastAsia="MS Mincho" w:cs="Arial"/>
                <w:kern w:val="0"/>
                <w:sz w:val="20"/>
                <w:szCs w:val="20"/>
                <w:lang w:val="pl" w:eastAsia="zh-CN" w:bidi="ar"/>
              </w:rPr>
              <w:t xml:space="preserve">Rozporządzenie Komisji (UE) nr 1407/2013 z dnia 18 grudnia 2013 r. w sprawie stosowania art. 107 i 108 Traktatu o funkcjonowaniu Unii Europejskiej do pomocy de minimis 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zawiera definicję „jednego przedsiębiorstwa” określoną dla pomocy de minimis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 </w:t>
            </w:r>
          </w:p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  <w:lang w:val="pl"/>
              </w:rPr>
            </w:pPr>
            <w:r>
              <w:rPr>
                <w:rFonts w:hint="default" w:ascii="Arial" w:hAnsi="Arial" w:eastAsia="MS Mincho" w:cs="Arial"/>
                <w:kern w:val="0"/>
                <w:sz w:val="20"/>
                <w:szCs w:val="20"/>
                <w:lang w:val="pl" w:eastAsia="zh-CN" w:bidi="ar"/>
              </w:rPr>
              <w:t xml:space="preserve">Rozporządzenie Komisji (UE) nr 1407/2013 z dnia 18 grudnia 2013 r. w sprawie stosowania art. 107 i 108 Traktatu o funkcjonowaniu Unii Europejskiej do pomocy de minimis </w:t>
            </w:r>
            <w:r>
              <w:rPr>
                <w:rFonts w:hint="default" w:ascii="Arial" w:hAnsi="Arial" w:eastAsia="MS Mincho" w:cs="Arial"/>
                <w:b/>
                <w:bCs/>
                <w:kern w:val="0"/>
                <w:sz w:val="20"/>
                <w:szCs w:val="20"/>
                <w:lang w:val="pl" w:eastAsia="zh-CN" w:bidi="ar"/>
              </w:rPr>
              <w:t>zmienionego Rozporządzeniem Komisji (UE) 2020/972 z dnia 2 lipca 2020 r.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zawiera definicję „jednego przedsiębiorstwa” określoną dla pomocy de minimis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 </w:t>
            </w:r>
          </w:p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numId w:val="0"/>
              </w:numPr>
              <w:wordWrap w:val="0"/>
              <w:adjustRightInd w:val="0"/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</w:pPr>
            <w:bookmarkStart w:id="45" w:name="_Toc23552"/>
            <w:bookmarkStart w:id="46" w:name="_Toc596"/>
            <w:bookmarkStart w:id="47" w:name="_Toc27374"/>
            <w:bookmarkStart w:id="48" w:name="_Toc1460"/>
            <w:bookmarkStart w:id="49" w:name="_Toc32578"/>
            <w:bookmarkStart w:id="50" w:name="_Toc1850"/>
            <w:bookmarkStart w:id="51" w:name="_Toc21904"/>
            <w:bookmarkStart w:id="52" w:name="_Toc30230"/>
            <w:bookmarkStart w:id="53" w:name="_Toc32503"/>
            <w:bookmarkStart w:id="54" w:name="_Toc18933"/>
            <w:bookmarkStart w:id="55" w:name="_Toc15363"/>
            <w:bookmarkStart w:id="56" w:name="_Toc24161"/>
            <w:bookmarkStart w:id="57" w:name="_Toc25498"/>
            <w:bookmarkStart w:id="58" w:name="_Toc148610720"/>
            <w:bookmarkStart w:id="59" w:name="_Toc15457"/>
            <w:bookmarkStart w:id="60" w:name="_Toc32152"/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21. Podstawa prawna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Arial" w:hAnsi="Arial" w:eastAsia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4.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Rozporządzenie Komisji (UE) nr 1407/2013 z dnia 18 grudnia 2013 r. w sprawie stosowania art. 107 i 108 Traktatu o funkcjonowaniu Unii Europejskiej do pomocy de minimis 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>Dz. Urz. UE L 352 z 24.12.2013, str.1, z późn. zm.)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-PL" w:eastAsia="zh-CN"/>
              </w:rPr>
              <w:t>.</w:t>
            </w:r>
          </w:p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Arial" w:hAnsi="Arial" w:eastAsia="Arial" w:cs="Arial"/>
                <w:b/>
                <w:bCs/>
                <w:sz w:val="20"/>
                <w:szCs w:val="20"/>
                <w:lang w:val="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4.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Rozporządzenie Komisji (UE) nr 1407/2013 z dnia 18 grudnia 2013 r. w sprawie stosowania art. 107 i 108 Traktatu o funkcjonowaniu Unii Europejskiej do pomocy de minimis 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>Dz. Urz. UE L 352 z 24.12.2013, str.1, z późn. zm.)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-PL" w:eastAsia="zh-CN"/>
              </w:rPr>
              <w:t>,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l"/>
              </w:rPr>
              <w:t>zmienione Rozporządzeniem Komisji (UE) 2020/972 z dnia 2 lipca 2020 r.;</w:t>
            </w:r>
          </w:p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</w:tbl>
    <w:p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MS Mincho">
    <w:altName w:val="Yu Gothic UI"/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2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60288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620EED"/>
    <w:multiLevelType w:val="multilevel"/>
    <w:tmpl w:val="20620EED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A3629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22621"/>
    <w:rsid w:val="00422E0C"/>
    <w:rsid w:val="00423AF9"/>
    <w:rsid w:val="00427585"/>
    <w:rsid w:val="00433488"/>
    <w:rsid w:val="00434C5B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79CA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17B04A25"/>
    <w:rsid w:val="21C451C3"/>
    <w:rsid w:val="268E52F4"/>
    <w:rsid w:val="348955B3"/>
    <w:rsid w:val="3635448E"/>
    <w:rsid w:val="3F334292"/>
    <w:rsid w:val="49050138"/>
    <w:rsid w:val="4B8150A3"/>
    <w:rsid w:val="5E272791"/>
    <w:rsid w:val="65527F3F"/>
    <w:rsid w:val="6B347FEF"/>
    <w:rsid w:val="6D4915D5"/>
    <w:rsid w:val="6E9D0F66"/>
    <w:rsid w:val="720DB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5B06F-1CD8-41B5-8552-5F671601D0F1}">
  <ds:schemaRefs/>
</ds:datastoreItem>
</file>

<file path=customXml/itemProps3.xml><?xml version="1.0" encoding="utf-8"?>
<ds:datastoreItem xmlns:ds="http://schemas.openxmlformats.org/officeDocument/2006/customXml" ds:itemID="{D978A358-3499-40E0-A077-E4C95E518F1C}">
  <ds:schemaRefs/>
</ds:datastoreItem>
</file>

<file path=customXml/itemProps4.xml><?xml version="1.0" encoding="utf-8"?>
<ds:datastoreItem xmlns:ds="http://schemas.openxmlformats.org/officeDocument/2006/customXml" ds:itemID="{BFE5B0AC-1FBF-4993-B22F-B587EF27EDE3}">
  <ds:schemaRefs/>
</ds:datastoreItem>
</file>

<file path=customXml/itemProps5.xml><?xml version="1.0" encoding="utf-8"?>
<ds:datastoreItem xmlns:ds="http://schemas.openxmlformats.org/officeDocument/2006/customXml" ds:itemID="{2E42E1C0-0D3F-45E4-A237-055E1C909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TotalTime>23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2023-12-03T20:21:00Z</dcterms:created>
  <dc:creator>mzacharzewska</dc:creator>
  <cp:lastModifiedBy>e.kroczek</cp:lastModifiedBy>
  <cp:lastPrinted>2023-08-21T12:29:00Z</cp:lastPrinted>
  <dcterms:modified xsi:type="dcterms:W3CDTF">2023-12-29T13:15:23Z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1045-12.2.0.13359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