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C98485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2BB9E37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B728C85" w14:textId="79A58E6B" w:rsidR="00422B17" w:rsidRPr="00422B17" w:rsidRDefault="00D80597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0B6212A9" w14:textId="1AF03B6D" w:rsidR="00A04E18" w:rsidRPr="0085381D" w:rsidRDefault="062311CA" w:rsidP="0085381D">
      <w:pPr>
        <w:autoSpaceDE w:val="0"/>
        <w:autoSpaceDN w:val="0"/>
        <w:adjustRightInd w:val="0"/>
        <w:spacing w:after="0" w:line="360" w:lineRule="auto"/>
        <w:rPr>
          <w:rStyle w:val="normaltextrun"/>
          <w:rFonts w:cs="Arial"/>
          <w:b/>
          <w:color w:val="000000"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 w:rsidR="0085381D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AB75CC">
        <w:rPr>
          <w:rStyle w:val="normaltextrun"/>
          <w:rFonts w:cs="Calibri"/>
          <w:b/>
          <w:bCs/>
          <w:sz w:val="32"/>
          <w:szCs w:val="32"/>
        </w:rPr>
        <w:t>realizowanego w programie</w:t>
      </w:r>
      <w:r w:rsidR="000B706E">
        <w:rPr>
          <w:rStyle w:val="normaltextrun"/>
          <w:rFonts w:cs="Calibri"/>
          <w:b/>
          <w:bCs/>
          <w:sz w:val="32"/>
          <w:szCs w:val="32"/>
        </w:rPr>
        <w:t>:</w:t>
      </w:r>
    </w:p>
    <w:p w14:paraId="4C7297EA" w14:textId="77777777" w:rsidR="00422B17" w:rsidRPr="00422B17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dla Mazowsza 2021-2027</w:t>
      </w:r>
    </w:p>
    <w:p w14:paraId="633AC086" w14:textId="77777777" w:rsidR="00422B17" w:rsidRPr="00422B17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Priorytet II</w:t>
      </w:r>
      <w:r>
        <w:rPr>
          <w:rStyle w:val="normaltextrun"/>
          <w:rFonts w:ascii="Calibri" w:hAnsi="Calibri" w:cs="Calibri"/>
          <w:b/>
          <w:bCs/>
          <w:sz w:val="32"/>
          <w:szCs w:val="32"/>
        </w:rPr>
        <w:t xml:space="preserve"> - </w:t>
      </w: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na zielony rozwój Mazowsza</w:t>
      </w:r>
    </w:p>
    <w:p w14:paraId="43CC45EA" w14:textId="77777777" w:rsidR="001F4DE1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Działanie 2.5</w:t>
      </w:r>
      <w:r>
        <w:rPr>
          <w:rStyle w:val="eop"/>
          <w:rFonts w:ascii="Calibri" w:hAnsi="Calibri" w:cs="Calibri"/>
          <w:sz w:val="32"/>
          <w:szCs w:val="32"/>
        </w:rPr>
        <w:t xml:space="preserve"> - </w:t>
      </w: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Gospodarka wodno-ściekowa</w:t>
      </w:r>
    </w:p>
    <w:p w14:paraId="676ABB03" w14:textId="31206B97" w:rsidR="00422B17" w:rsidRPr="00422B17" w:rsidRDefault="44D594C4" w:rsidP="001F4DE1">
      <w:pPr>
        <w:pStyle w:val="paragraph"/>
        <w:spacing w:line="360" w:lineRule="auto"/>
        <w:textAlignment w:val="baseline"/>
        <w:rPr>
          <w:sz w:val="32"/>
          <w:szCs w:val="32"/>
        </w:rPr>
      </w:pPr>
      <w:r w:rsidRPr="5D086780">
        <w:rPr>
          <w:rStyle w:val="normaltextrun"/>
          <w:rFonts w:ascii="Calibri" w:hAnsi="Calibri" w:cs="Calibri"/>
          <w:b/>
          <w:bCs/>
          <w:sz w:val="32"/>
          <w:szCs w:val="32"/>
        </w:rPr>
        <w:t>Typ projektów</w:t>
      </w:r>
      <w:r w:rsidRPr="5D086780">
        <w:rPr>
          <w:rStyle w:val="eop"/>
          <w:rFonts w:ascii="Calibri" w:hAnsi="Calibri" w:cs="Calibri"/>
          <w:sz w:val="32"/>
          <w:szCs w:val="32"/>
        </w:rPr>
        <w:t xml:space="preserve"> - </w:t>
      </w:r>
      <w:r w:rsidR="001F4DE1" w:rsidRPr="001F4DE1">
        <w:rPr>
          <w:rStyle w:val="normaltextrun"/>
          <w:rFonts w:ascii="Calibri" w:hAnsi="Calibri" w:cs="Calibri"/>
          <w:b/>
          <w:bCs/>
          <w:sz w:val="32"/>
          <w:szCs w:val="32"/>
        </w:rPr>
        <w:t>Zarządzanie efektywnymi, inteligentnymi sieciami wodociągowymi</w:t>
      </w:r>
    </w:p>
    <w:p w14:paraId="6354BE34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DA968F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1AB7C5D7" w14:textId="3BBE2F9A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A34F3D3" w14:textId="77777777" w:rsidR="001F4DE1" w:rsidRDefault="001F4DE1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49E2B157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A06B568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7CCBD1DF" w:rsidR="00355CCB" w:rsidRPr="00A528B9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5D086780">
        <w:rPr>
          <w:rFonts w:cs="Arial"/>
          <w:b/>
          <w:bCs/>
          <w:color w:val="000000" w:themeColor="text1"/>
          <w:sz w:val="28"/>
          <w:szCs w:val="28"/>
        </w:rPr>
        <w:t>arszawa,  2023 r.</w:t>
      </w: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0FF9947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70BCDDE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0B5C71E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1991F8D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23B47DDF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C7AAA2B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A14CF2D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486B0DC9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5D1382BA" w:rsidR="00E2477E" w:rsidRDefault="006E1F0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73880C8" w:rsidR="00E2477E" w:rsidRDefault="006E1F0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5D6BC1C7" w:rsidR="00E2477E" w:rsidRDefault="006E1F0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1DD73C5E" w:rsidR="00E2477E" w:rsidRDefault="006E1F0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16E9035F" w:rsidR="00E2477E" w:rsidRDefault="006E1F0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5A3770C5" w:rsidR="00E2477E" w:rsidRDefault="006E1F0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0" w:name="_Toc442168430"/>
      <w:bookmarkStart w:id="1" w:name="_Toc442168586"/>
      <w:bookmarkStart w:id="2" w:name="_Toc442168693"/>
      <w:bookmarkStart w:id="3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4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0"/>
      <w:bookmarkEnd w:id="1"/>
      <w:bookmarkEnd w:id="2"/>
      <w:bookmarkEnd w:id="3"/>
      <w:bookmarkEnd w:id="4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6E1F06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0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442168587"/>
      <w:bookmarkStart w:id="6" w:name="_Toc442168694"/>
      <w:bookmarkStart w:id="7" w:name="_Toc442168737"/>
      <w:bookmarkStart w:id="8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5"/>
      <w:bookmarkEnd w:id="6"/>
      <w:bookmarkEnd w:id="7"/>
      <w:bookmarkEnd w:id="8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9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77777777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1" w:history="1">
        <w:r w:rsidRPr="001A2CF9">
          <w:rPr>
            <w:rStyle w:val="Hipercze"/>
            <w:rFonts w:cs="Arial"/>
            <w:color w:val="000000"/>
            <w:sz w:val="20"/>
            <w:szCs w:val="20"/>
          </w:rPr>
          <w:t>www.funduszedlamazowsza.eu</w:t>
        </w:r>
      </w:hyperlink>
      <w:r w:rsidRPr="001A2CF9">
        <w:rPr>
          <w:rFonts w:cs="Arial"/>
          <w:sz w:val="20"/>
          <w:szCs w:val="20"/>
        </w:rPr>
        <w:t>.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0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2E6A20F6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hyperlink r:id="rId12">
        <w:r w:rsidR="0D513838" w:rsidRPr="644EA27C">
          <w:rPr>
            <w:rStyle w:val="Hipercze"/>
            <w:rFonts w:cs="Arial"/>
            <w:color w:val="000000" w:themeColor="text1"/>
            <w:sz w:val="20"/>
            <w:szCs w:val="20"/>
          </w:rPr>
          <w:t>www.funduszedlamazowsza.eu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1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2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2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3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4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5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6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7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18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19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0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  <w:bookmarkStart w:id="21" w:name="_GoBack"/>
      <w:bookmarkEnd w:id="21"/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7C1E7429" w14:textId="34B45A20" w:rsidR="6B0902D7" w:rsidRPr="000B706E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odnieść się do Oceny DNSH projektu Programu Regionalnego: Fundusze dla Mazowsza 2021-2027 zamieszczonej na stronie internetowej programu regionalnego: </w:t>
      </w:r>
      <w:hyperlink r:id="rId14">
        <w:r w:rsidRPr="008E4BBD">
          <w:rPr>
            <w:rStyle w:val="Hipercze"/>
            <w:sz w:val="20"/>
            <w:szCs w:val="20"/>
          </w:rPr>
          <w:t>https://www.funduszedlamazowsza.eu/aktualnosci/program-fundusze-europejskie-dla-mazowsza-2021-2027-zostal-przyjety-przez-komisje-europejska/</w:t>
        </w:r>
      </w:hyperlink>
      <w:r w:rsidRPr="000B706E">
        <w:rPr>
          <w:sz w:val="20"/>
          <w:szCs w:val="20"/>
        </w:rPr>
        <w:t>.</w:t>
      </w:r>
      <w:r w:rsidR="6B0902D7">
        <w:br/>
      </w:r>
      <w:r w:rsidR="17B610E0" w:rsidRPr="000B706E">
        <w:rPr>
          <w:sz w:val="20"/>
          <w:szCs w:val="20"/>
        </w:rPr>
        <w:t>P</w:t>
      </w:r>
      <w:r w:rsidRPr="000B706E">
        <w:rPr>
          <w:sz w:val="20"/>
          <w:szCs w:val="20"/>
        </w:rPr>
        <w:t xml:space="preserve">rojekt </w:t>
      </w:r>
      <w:r w:rsidR="6E86F0B5" w:rsidRPr="000B706E">
        <w:rPr>
          <w:sz w:val="20"/>
          <w:szCs w:val="20"/>
        </w:rPr>
        <w:t xml:space="preserve">powinien </w:t>
      </w:r>
      <w:r w:rsidRPr="000B706E">
        <w:rPr>
          <w:sz w:val="20"/>
          <w:szCs w:val="20"/>
        </w:rPr>
        <w:t>spełnia</w:t>
      </w:r>
      <w:r w:rsidR="7E18D459" w:rsidRPr="000B706E">
        <w:rPr>
          <w:sz w:val="20"/>
          <w:szCs w:val="20"/>
        </w:rPr>
        <w:t>ć</w:t>
      </w:r>
      <w:r w:rsidRPr="000B706E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5"/>
      <w:footerReference w:type="default" r:id="rId16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BE892B" w16cex:dateUtc="2023-09-27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EC190F" w16cid:durableId="28BE89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6E23F" w14:textId="77777777" w:rsidR="006E1F06" w:rsidRDefault="006E1F06" w:rsidP="00FE74CD">
      <w:pPr>
        <w:spacing w:after="0" w:line="240" w:lineRule="auto"/>
      </w:pPr>
      <w:r>
        <w:separator/>
      </w:r>
    </w:p>
  </w:endnote>
  <w:endnote w:type="continuationSeparator" w:id="0">
    <w:p w14:paraId="24283C31" w14:textId="77777777" w:rsidR="006E1F06" w:rsidRDefault="006E1F06" w:rsidP="00FE74CD">
      <w:pPr>
        <w:spacing w:after="0" w:line="240" w:lineRule="auto"/>
      </w:pPr>
      <w:r>
        <w:continuationSeparator/>
      </w:r>
    </w:p>
  </w:endnote>
  <w:endnote w:type="continuationNotice" w:id="1">
    <w:p w14:paraId="4996716D" w14:textId="77777777" w:rsidR="006E1F06" w:rsidRDefault="006E1F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1C8B063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2C2A">
      <w:rPr>
        <w:noProof/>
      </w:rPr>
      <w:t>8</w:t>
    </w:r>
    <w:r>
      <w:fldChar w:fldCharType="end"/>
    </w:r>
    <w:r>
      <w:rPr>
        <w:noProof/>
      </w:rPr>
      <w:t xml:space="preserve"> z </w:t>
    </w:r>
    <w:r w:rsidR="006E1F06">
      <w:fldChar w:fldCharType="begin"/>
    </w:r>
    <w:r w:rsidR="006E1F06">
      <w:instrText>NUMPAGES   \* MERGEFORMAT</w:instrText>
    </w:r>
    <w:r w:rsidR="006E1F06">
      <w:fldChar w:fldCharType="separate"/>
    </w:r>
    <w:r w:rsidR="001B2C2A">
      <w:rPr>
        <w:noProof/>
      </w:rPr>
      <w:t>8</w:t>
    </w:r>
    <w:r w:rsidR="006E1F06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B1A99" w14:textId="77777777" w:rsidR="006E1F06" w:rsidRDefault="006E1F06" w:rsidP="00FE74CD">
      <w:pPr>
        <w:spacing w:after="0" w:line="240" w:lineRule="auto"/>
      </w:pPr>
      <w:r>
        <w:separator/>
      </w:r>
    </w:p>
  </w:footnote>
  <w:footnote w:type="continuationSeparator" w:id="0">
    <w:p w14:paraId="6162B0BB" w14:textId="77777777" w:rsidR="006E1F06" w:rsidRDefault="006E1F06" w:rsidP="00FE74CD">
      <w:pPr>
        <w:spacing w:after="0" w:line="240" w:lineRule="auto"/>
      </w:pPr>
      <w:r>
        <w:continuationSeparator/>
      </w:r>
    </w:p>
  </w:footnote>
  <w:footnote w:type="continuationNotice" w:id="1">
    <w:p w14:paraId="308342D2" w14:textId="77777777" w:rsidR="006E1F06" w:rsidRDefault="006E1F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35"/>
  </w:num>
  <w:num w:numId="4">
    <w:abstractNumId w:val="33"/>
  </w:num>
  <w:num w:numId="5">
    <w:abstractNumId w:val="36"/>
  </w:num>
  <w:num w:numId="6">
    <w:abstractNumId w:val="40"/>
  </w:num>
  <w:num w:numId="7">
    <w:abstractNumId w:val="6"/>
  </w:num>
  <w:num w:numId="8">
    <w:abstractNumId w:val="13"/>
  </w:num>
  <w:num w:numId="9">
    <w:abstractNumId w:val="29"/>
  </w:num>
  <w:num w:numId="10">
    <w:abstractNumId w:val="39"/>
  </w:num>
  <w:num w:numId="11">
    <w:abstractNumId w:val="30"/>
  </w:num>
  <w:num w:numId="12">
    <w:abstractNumId w:val="25"/>
  </w:num>
  <w:num w:numId="13">
    <w:abstractNumId w:val="19"/>
  </w:num>
  <w:num w:numId="14">
    <w:abstractNumId w:val="34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31"/>
  </w:num>
  <w:num w:numId="20">
    <w:abstractNumId w:val="32"/>
  </w:num>
  <w:num w:numId="21">
    <w:abstractNumId w:val="3"/>
  </w:num>
  <w:num w:numId="22">
    <w:abstractNumId w:val="20"/>
  </w:num>
  <w:num w:numId="23">
    <w:abstractNumId w:val="23"/>
  </w:num>
  <w:num w:numId="24">
    <w:abstractNumId w:val="8"/>
  </w:num>
  <w:num w:numId="25">
    <w:abstractNumId w:val="27"/>
  </w:num>
  <w:num w:numId="26">
    <w:abstractNumId w:val="16"/>
  </w:num>
  <w:num w:numId="27">
    <w:abstractNumId w:val="21"/>
  </w:num>
  <w:num w:numId="28">
    <w:abstractNumId w:val="18"/>
  </w:num>
  <w:num w:numId="29">
    <w:abstractNumId w:val="15"/>
  </w:num>
  <w:num w:numId="30">
    <w:abstractNumId w:val="0"/>
  </w:num>
  <w:num w:numId="31">
    <w:abstractNumId w:val="10"/>
  </w:num>
  <w:num w:numId="32">
    <w:abstractNumId w:val="5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7"/>
  </w:num>
  <w:num w:numId="36">
    <w:abstractNumId w:val="9"/>
  </w:num>
  <w:num w:numId="37">
    <w:abstractNumId w:val="22"/>
  </w:num>
  <w:num w:numId="38">
    <w:abstractNumId w:val="24"/>
  </w:num>
  <w:num w:numId="39">
    <w:abstractNumId w:val="38"/>
  </w:num>
  <w:num w:numId="40">
    <w:abstractNumId w:val="4"/>
  </w:num>
  <w:num w:numId="41">
    <w:abstractNumId w:val="1"/>
  </w:num>
  <w:num w:numId="4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klimada2.ios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unduszedlamazowsz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uszedlamazowsza.eu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unduszedlamazowsza.eu/aktualnosci/program-fundusze-europejskie-dla-mazowsza-2021-2027-zostal-przyjety-przez-komisje-europejsk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6" ma:contentTypeDescription="Utwórz nowy dokument." ma:contentTypeScope="" ma:versionID="8cc1adb2890ec3aeba08f45096b6b206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3ec9c2fb2968836ba776a08da1f3bbc1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8F46E-D13B-4E36-A529-DBE1D0C17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DA056-09F0-4453-AA6E-B7B44E47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34</TotalTime>
  <Pages>8</Pages>
  <Words>2148</Words>
  <Characters>12891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5</cp:revision>
  <cp:lastPrinted>2019-09-10T16:35:00Z</cp:lastPrinted>
  <dcterms:created xsi:type="dcterms:W3CDTF">2023-09-27T07:44:00Z</dcterms:created>
  <dcterms:modified xsi:type="dcterms:W3CDTF">2023-09-27T09:07:00Z</dcterms:modified>
</cp:coreProperties>
</file>